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2252" w14:textId="5721F12A" w:rsidR="00102E7A" w:rsidRPr="00F748F9" w:rsidRDefault="0091372D" w:rsidP="007C7952">
      <w:pPr>
        <w:pStyle w:val="SGBodytext"/>
        <w:rPr>
          <w:rStyle w:val="Strong"/>
          <w:rFonts w:eastAsia="Cambria" w:cs="Times New Roman"/>
          <w:sz w:val="32"/>
          <w:lang w:val="en-US"/>
        </w:rPr>
      </w:pPr>
      <w:r w:rsidRPr="00F748F9">
        <w:rPr>
          <w:rStyle w:val="Strong"/>
          <w:sz w:val="32"/>
        </w:rPr>
        <w:t>Primary Income Account and Gross National Income (</w:t>
      </w:r>
      <w:proofErr w:type="spellStart"/>
      <w:r w:rsidRPr="00F748F9">
        <w:rPr>
          <w:rStyle w:val="Strong"/>
          <w:sz w:val="32"/>
        </w:rPr>
        <w:t>GNI</w:t>
      </w:r>
      <w:proofErr w:type="spellEnd"/>
      <w:r w:rsidRPr="00F748F9">
        <w:rPr>
          <w:rStyle w:val="Strong"/>
          <w:sz w:val="32"/>
        </w:rPr>
        <w:t>) for Scotland</w:t>
      </w:r>
      <w:r w:rsidR="00EA755D" w:rsidRPr="00F748F9">
        <w:rPr>
          <w:rStyle w:val="Strong"/>
          <w:sz w:val="32"/>
        </w:rPr>
        <w:t xml:space="preserve">: Methodology paper </w:t>
      </w:r>
    </w:p>
    <w:p w14:paraId="05815086" w14:textId="1C1CB583" w:rsidR="00102E7A" w:rsidRPr="00F748F9" w:rsidRDefault="00384C64" w:rsidP="007C7952">
      <w:pPr>
        <w:pStyle w:val="SGBodytext"/>
      </w:pPr>
      <w:bookmarkStart w:id="0" w:name="_Toc506751770"/>
      <w:bookmarkStart w:id="1" w:name="_Toc506751968"/>
      <w:bookmarkStart w:id="2" w:name="_Toc506756724"/>
      <w:bookmarkStart w:id="3" w:name="_Toc506797309"/>
      <w:bookmarkStart w:id="4" w:name="_Toc506849832"/>
      <w:bookmarkStart w:id="5" w:name="_Toc506898948"/>
      <w:bookmarkStart w:id="6" w:name="_Toc506972253"/>
      <w:bookmarkStart w:id="7" w:name="_Toc507015542"/>
      <w:r w:rsidRPr="00F748F9">
        <w:t>Release Date</w:t>
      </w:r>
      <w:r w:rsidR="00102E7A" w:rsidRPr="00F748F9">
        <w:t xml:space="preserve">: </w:t>
      </w:r>
      <w:r w:rsidR="00AC610B" w:rsidRPr="00F748F9">
        <w:t>Ju</w:t>
      </w:r>
      <w:r w:rsidR="007C7952">
        <w:t>ne</w:t>
      </w:r>
      <w:r w:rsidR="00AC610B" w:rsidRPr="00F748F9">
        <w:t xml:space="preserve"> 2023. </w:t>
      </w:r>
      <w:bookmarkEnd w:id="0"/>
      <w:bookmarkEnd w:id="1"/>
      <w:bookmarkEnd w:id="2"/>
      <w:bookmarkEnd w:id="3"/>
      <w:bookmarkEnd w:id="4"/>
      <w:bookmarkEnd w:id="5"/>
      <w:bookmarkEnd w:id="6"/>
      <w:bookmarkEnd w:id="7"/>
    </w:p>
    <w:p w14:paraId="76AC4DEB" w14:textId="77777777" w:rsidR="00664E53" w:rsidRPr="00F748F9" w:rsidRDefault="00664E53" w:rsidP="008D39E0">
      <w:pPr>
        <w:pStyle w:val="Heading2"/>
        <w:tabs>
          <w:tab w:val="left" w:pos="360"/>
        </w:tabs>
      </w:pPr>
      <w:bookmarkStart w:id="8" w:name="_Toc507015543"/>
      <w:bookmarkStart w:id="9" w:name="_Toc138594583"/>
      <w:bookmarkStart w:id="10" w:name="_Toc506751771"/>
      <w:r w:rsidRPr="00F748F9">
        <w:t>Overview</w:t>
      </w:r>
      <w:bookmarkEnd w:id="8"/>
      <w:bookmarkEnd w:id="9"/>
    </w:p>
    <w:bookmarkEnd w:id="10"/>
    <w:p w14:paraId="7CE3924F" w14:textId="77777777" w:rsidR="007C7952" w:rsidRPr="007C7952" w:rsidRDefault="007C7952" w:rsidP="007C7952">
      <w:pPr>
        <w:pStyle w:val="SGBodytext"/>
      </w:pPr>
      <w:r w:rsidRPr="007C7952">
        <w:t>This publication contains estimates of primary income flows and Gross National Income (</w:t>
      </w:r>
      <w:proofErr w:type="spellStart"/>
      <w:r w:rsidRPr="007C7952">
        <w:t>GNI</w:t>
      </w:r>
      <w:proofErr w:type="spellEnd"/>
      <w:r w:rsidRPr="007C7952">
        <w:t>) for Scotland for the years 1998-2021. This is the first release of these statistics since December 2019, and includes revisions to the previously published figures for 1998 to 2017. The next release, including results up to 2022, is planned for publication in the first half of 2024.</w:t>
      </w:r>
    </w:p>
    <w:p w14:paraId="4170E65F" w14:textId="77777777" w:rsidR="007C7952" w:rsidRPr="007C7952" w:rsidRDefault="007C7952" w:rsidP="007C7952">
      <w:pPr>
        <w:pStyle w:val="SGBodytext"/>
      </w:pPr>
      <w:r w:rsidRPr="007C7952">
        <w:t>The estimates in this release are consistent with data sourced from Scotland’s Quarterly National Accounts for 2022 Quarter 4, the UK Pink Book 2022 and the UK Economic Accounts for 2022 Quarter 4.</w:t>
      </w:r>
    </w:p>
    <w:p w14:paraId="730402D6" w14:textId="73228FC2" w:rsidR="0093256A" w:rsidRPr="00F748F9" w:rsidRDefault="0093256A" w:rsidP="007C7952">
      <w:pPr>
        <w:pStyle w:val="SGBodytext"/>
      </w:pPr>
      <w:r w:rsidRPr="00F748F9">
        <w:t xml:space="preserve">All results in this paper are designated as </w:t>
      </w:r>
      <w:r w:rsidRPr="007C7952">
        <w:rPr>
          <w:b/>
          <w:bCs/>
        </w:rPr>
        <w:t>experimental statistics</w:t>
      </w:r>
      <w:r w:rsidRPr="00F748F9">
        <w:t xml:space="preserve">. These are defined as new official statistics undergoing development and testing. All users should be aware that the results in this paper are </w:t>
      </w:r>
      <w:r w:rsidRPr="00F748F9">
        <w:rPr>
          <w:b/>
          <w:bCs/>
        </w:rPr>
        <w:t>provisional and will be revised and updated</w:t>
      </w:r>
      <w:r w:rsidRPr="00F748F9">
        <w:t xml:space="preserve"> when further developments are made. They should therefore be used with appropriate caution at this time.</w:t>
      </w:r>
      <w:r w:rsidR="00457F81" w:rsidRPr="00F748F9">
        <w:t xml:space="preserve"> The methods, data sources and results in this paper are open for ongoing consultation with users, and we welcome feedback on all aspects of the release.</w:t>
      </w:r>
    </w:p>
    <w:p w14:paraId="3712CF7D" w14:textId="77777777" w:rsidR="001446D9" w:rsidRPr="00F748F9" w:rsidRDefault="001446D9" w:rsidP="007C7952">
      <w:pPr>
        <w:pStyle w:val="SGBodytext"/>
      </w:pPr>
      <w:r w:rsidRPr="00F748F9">
        <w:t xml:space="preserve">Please contact us at </w:t>
      </w:r>
      <w:hyperlink r:id="rId10" w:history="1">
        <w:r w:rsidRPr="00F748F9">
          <w:rPr>
            <w:rStyle w:val="Hyperlink"/>
            <w:color w:val="0000FF"/>
          </w:rPr>
          <w:t>economic.statistics@gov.scot</w:t>
        </w:r>
      </w:hyperlink>
    </w:p>
    <w:p w14:paraId="01B5DD35" w14:textId="77777777" w:rsidR="00520B9C" w:rsidRDefault="001446D9" w:rsidP="007C7952">
      <w:pPr>
        <w:pStyle w:val="SGBodytext"/>
      </w:pPr>
      <w:r w:rsidRPr="00F748F9">
        <w:t>or write to:</w:t>
      </w:r>
    </w:p>
    <w:p w14:paraId="38D77ED1" w14:textId="3748B29F" w:rsidR="001446D9" w:rsidRPr="00F748F9" w:rsidRDefault="001446D9" w:rsidP="007C7952">
      <w:pPr>
        <w:pStyle w:val="SGBodytext"/>
      </w:pPr>
      <w:r w:rsidRPr="00F748F9">
        <w:t>The Scottish Government</w:t>
      </w:r>
      <w:r w:rsidRPr="00F748F9">
        <w:br/>
        <w:t>National Accounts Unit</w:t>
      </w:r>
      <w:r w:rsidRPr="00F748F9">
        <w:br/>
        <w:t>Office of the Chief Economic Adviser – Economic Analysis</w:t>
      </w:r>
      <w:r w:rsidRPr="00F748F9">
        <w:br/>
        <w:t>St Andrew’s House</w:t>
      </w:r>
      <w:r w:rsidR="007C7952">
        <w:t xml:space="preserve"> (</w:t>
      </w:r>
      <w:proofErr w:type="spellStart"/>
      <w:r w:rsidR="007C7952">
        <w:t>4WR</w:t>
      </w:r>
      <w:proofErr w:type="spellEnd"/>
      <w:r w:rsidR="007C7952">
        <w:t>)</w:t>
      </w:r>
      <w:r w:rsidRPr="00F748F9">
        <w:br/>
        <w:t>Regent Road</w:t>
      </w:r>
      <w:r w:rsidRPr="00F748F9">
        <w:br/>
        <w:t>Edinburgh</w:t>
      </w:r>
      <w:r w:rsidRPr="00F748F9">
        <w:br/>
      </w:r>
      <w:proofErr w:type="spellStart"/>
      <w:r w:rsidRPr="00F748F9">
        <w:t>EH1</w:t>
      </w:r>
      <w:proofErr w:type="spellEnd"/>
      <w:r w:rsidRPr="00F748F9">
        <w:t xml:space="preserve"> </w:t>
      </w:r>
      <w:proofErr w:type="spellStart"/>
      <w:r w:rsidRPr="00F748F9">
        <w:t>3DG</w:t>
      </w:r>
      <w:proofErr w:type="spellEnd"/>
    </w:p>
    <w:p w14:paraId="45803B75" w14:textId="4B51D8BA" w:rsidR="001446D9" w:rsidRPr="00F748F9" w:rsidRDefault="001446D9" w:rsidP="007C7952">
      <w:pPr>
        <w:pStyle w:val="SGBodytext"/>
      </w:pPr>
      <w:r w:rsidRPr="00F748F9">
        <w:t>You can also follow u</w:t>
      </w:r>
      <w:r w:rsidR="007C7952">
        <w:t>s</w:t>
      </w:r>
      <w:r w:rsidRPr="00F748F9">
        <w:t xml:space="preserve"> on Twitter to keep up to date with the economic statistics and wider economic analysis published by the Scottish Government - </w:t>
      </w:r>
      <w:hyperlink r:id="rId11" w:history="1">
        <w:r w:rsidRPr="00F748F9">
          <w:rPr>
            <w:rStyle w:val="Hyperlink"/>
            <w:color w:val="0000FF"/>
          </w:rPr>
          <w:t>https://twitter.com/scotgovocea</w:t>
        </w:r>
      </w:hyperlink>
    </w:p>
    <w:p w14:paraId="629171B5" w14:textId="77777777" w:rsidR="007C7952" w:rsidRPr="00FB0BB6" w:rsidRDefault="007C7952" w:rsidP="007C7952">
      <w:pPr>
        <w:pStyle w:val="Heading3"/>
      </w:pPr>
      <w:bookmarkStart w:id="11" w:name="_Toc506751774"/>
      <w:bookmarkStart w:id="12" w:name="_Toc507015551"/>
      <w:bookmarkStart w:id="13" w:name="_Toc138594587"/>
      <w:r w:rsidRPr="00FB0BB6">
        <w:t>Introduction</w:t>
      </w:r>
    </w:p>
    <w:p w14:paraId="00C406F9" w14:textId="77777777" w:rsidR="007C7952" w:rsidRPr="007C7952" w:rsidRDefault="007C7952" w:rsidP="007C7952">
      <w:pPr>
        <w:pStyle w:val="SGBodytext"/>
      </w:pPr>
      <w:r w:rsidRPr="007C7952">
        <w:t>Gross National Income (</w:t>
      </w:r>
      <w:proofErr w:type="spellStart"/>
      <w:r w:rsidRPr="007C7952">
        <w:t>GNI</w:t>
      </w:r>
      <w:proofErr w:type="spellEnd"/>
      <w:r w:rsidRPr="007C7952">
        <w:t xml:space="preserve">) can be viewed as an adjustment to the more widely used Gross Domestic Product (GDP) measure of economic activity to take account of financial flows into and out of the country due to ownership. For example, where profits made by Scottish companies outside Scotland are repatriated, this would be included in an estimate of Scottish </w:t>
      </w:r>
      <w:proofErr w:type="spellStart"/>
      <w:r w:rsidRPr="007C7952">
        <w:t>GNI</w:t>
      </w:r>
      <w:proofErr w:type="spellEnd"/>
      <w:r w:rsidRPr="007C7952">
        <w:t xml:space="preserve"> but is not included in Scottish GDP. Likewise, when non-Scottish companies repatriate profits made in Scotland, these profits would be included in Scottish GDP but would be omitted from estimates of Scottish </w:t>
      </w:r>
      <w:proofErr w:type="spellStart"/>
      <w:r w:rsidRPr="007C7952">
        <w:t>GNI</w:t>
      </w:r>
      <w:proofErr w:type="spellEnd"/>
      <w:r w:rsidRPr="007C7952">
        <w:t>.</w:t>
      </w:r>
    </w:p>
    <w:p w14:paraId="7B4C263E" w14:textId="77777777" w:rsidR="007C7952" w:rsidRPr="00FB0BB6" w:rsidRDefault="007C7952" w:rsidP="007C7952">
      <w:pPr>
        <w:pStyle w:val="Heading3"/>
      </w:pPr>
      <w:r>
        <w:lastRenderedPageBreak/>
        <w:t xml:space="preserve">Methodology Overview </w:t>
      </w:r>
    </w:p>
    <w:p w14:paraId="336403AC" w14:textId="77777777" w:rsidR="007C7952" w:rsidRPr="00FB0BB6" w:rsidRDefault="007C7952" w:rsidP="007C7952">
      <w:pPr>
        <w:pStyle w:val="SGBodytext"/>
      </w:pPr>
      <w:r w:rsidRPr="00FB0BB6">
        <w:t xml:space="preserve">The </w:t>
      </w:r>
      <w:r>
        <w:t xml:space="preserve">original aim behind these statistics was </w:t>
      </w:r>
      <w:r w:rsidRPr="00FB0BB6">
        <w:t>to develop the statistical framework and methods for extending Scotland’s national accounts to include estimates of Gross National Income (</w:t>
      </w:r>
      <w:proofErr w:type="spellStart"/>
      <w:r w:rsidRPr="00FB0BB6">
        <w:t>GNI</w:t>
      </w:r>
      <w:proofErr w:type="spellEnd"/>
      <w:r w:rsidRPr="00FB0BB6">
        <w:t>) in addition to Gross Domestic Product (GDP)</w:t>
      </w:r>
      <w:r>
        <w:t>, and for these statistics to cover activities across the wider economic territory</w:t>
      </w:r>
      <w:r w:rsidRPr="00FB0BB6">
        <w:t xml:space="preserve"> of Scotland (i.e. including</w:t>
      </w:r>
      <w:r>
        <w:t xml:space="preserve"> a geographical share of UK extra-</w:t>
      </w:r>
      <w:proofErr w:type="spellStart"/>
      <w:r>
        <w:t>regio</w:t>
      </w:r>
      <w:proofErr w:type="spellEnd"/>
      <w:r>
        <w:t xml:space="preserve"> economic activities, namely oil and gas production in Scottish adjacent waters</w:t>
      </w:r>
      <w:r w:rsidRPr="00FB0BB6">
        <w:t xml:space="preserve">). Specific objectives </w:t>
      </w:r>
      <w:r>
        <w:t>were</w:t>
      </w:r>
      <w:r w:rsidRPr="00FB0BB6">
        <w:t>:</w:t>
      </w:r>
    </w:p>
    <w:p w14:paraId="1EEDB920" w14:textId="77777777" w:rsidR="007C7952" w:rsidRPr="00FB0BB6" w:rsidRDefault="007C7952" w:rsidP="007C7952">
      <w:pPr>
        <w:pStyle w:val="SGBodytext"/>
        <w:numPr>
          <w:ilvl w:val="0"/>
          <w:numId w:val="59"/>
        </w:numPr>
      </w:pPr>
      <w:r w:rsidRPr="00FB0BB6">
        <w:t>To apportion the UK Primary Income Account to Scotland – estimating the financial flows between Scotland and the (non-UK) Rest of the World (ROW)</w:t>
      </w:r>
      <w:r>
        <w:t>, including intra-company flows within the UK which underly the international flows in the UK accounts</w:t>
      </w:r>
      <w:r w:rsidRPr="00FB0BB6">
        <w:t>.</w:t>
      </w:r>
    </w:p>
    <w:p w14:paraId="20E3B9B9" w14:textId="77777777" w:rsidR="007C7952" w:rsidRPr="00FB0BB6" w:rsidRDefault="007C7952" w:rsidP="007C7952">
      <w:pPr>
        <w:pStyle w:val="SGBodytext"/>
        <w:numPr>
          <w:ilvl w:val="0"/>
          <w:numId w:val="59"/>
        </w:numPr>
      </w:pPr>
      <w:r w:rsidRPr="00FB0BB6">
        <w:t>To estimate Scottish flows to and from the Rest of the UK (</w:t>
      </w:r>
      <w:proofErr w:type="spellStart"/>
      <w:r w:rsidRPr="00FB0BB6">
        <w:t>RUK</w:t>
      </w:r>
      <w:proofErr w:type="spellEnd"/>
      <w:r w:rsidRPr="00FB0BB6">
        <w:t>).</w:t>
      </w:r>
    </w:p>
    <w:p w14:paraId="749B2D16" w14:textId="77777777" w:rsidR="007C7952" w:rsidRPr="00FB0BB6" w:rsidRDefault="007C7952" w:rsidP="007C7952">
      <w:pPr>
        <w:pStyle w:val="Heading3"/>
      </w:pPr>
      <w:r w:rsidRPr="00FB0BB6">
        <w:t>Building on Previous Work</w:t>
      </w:r>
    </w:p>
    <w:p w14:paraId="001D8F52" w14:textId="77777777" w:rsidR="007C7952" w:rsidRPr="00FB0BB6" w:rsidRDefault="007C7952" w:rsidP="007C7952">
      <w:pPr>
        <w:pStyle w:val="SGBodytext"/>
      </w:pPr>
      <w:r w:rsidRPr="00FB0BB6">
        <w:t xml:space="preserve">The methodology </w:t>
      </w:r>
      <w:r>
        <w:t xml:space="preserve">used for this release </w:t>
      </w:r>
      <w:r w:rsidRPr="00FB0BB6">
        <w:t xml:space="preserve">has largely remained the same as previous </w:t>
      </w:r>
      <w:r>
        <w:t>versions.</w:t>
      </w:r>
      <w:r w:rsidRPr="00FB0BB6">
        <w:t xml:space="preserve"> </w:t>
      </w:r>
      <w:r>
        <w:t>M</w:t>
      </w:r>
      <w:r w:rsidRPr="00FB0BB6">
        <w:t xml:space="preserve">ore information on the methodology can be found in the separate methodology paper, which can be downloaded using the buttons at the top of this page. </w:t>
      </w:r>
    </w:p>
    <w:p w14:paraId="090FE6AD" w14:textId="2EB0DA45" w:rsidR="007C7952" w:rsidRPr="00FB0BB6" w:rsidRDefault="007C7952" w:rsidP="007C7952">
      <w:pPr>
        <w:pStyle w:val="SGBodytext"/>
      </w:pPr>
      <w:r w:rsidRPr="00FB0BB6">
        <w:t>The methods, data sources and results in this paper are</w:t>
      </w:r>
      <w:r>
        <w:t xml:space="preserve"> subject to ongoing review and we welcome input to this from </w:t>
      </w:r>
      <w:r w:rsidRPr="00FB0BB6">
        <w:t xml:space="preserve">users. Please contact us at </w:t>
      </w:r>
      <w:hyperlink r:id="rId12" w:history="1">
        <w:r w:rsidRPr="00184A36">
          <w:rPr>
            <w:rStyle w:val="Hyperlink"/>
          </w:rPr>
          <w:t>economic.statistics@gov.scot</w:t>
        </w:r>
      </w:hyperlink>
      <w:r>
        <w:rPr>
          <w:u w:val="single" w:color="000000"/>
        </w:rPr>
        <w:t xml:space="preserve">. </w:t>
      </w:r>
    </w:p>
    <w:p w14:paraId="421142EE" w14:textId="77777777" w:rsidR="007C7952" w:rsidRPr="00FB0BB6" w:rsidRDefault="007C7952" w:rsidP="007C7952">
      <w:pPr>
        <w:pStyle w:val="SGBodytext"/>
      </w:pPr>
      <w:r>
        <w:t>Users should note that development of these statistics has focussed on results from 2010 onwards for which data sources, such as the Foreign Direct Investment Survey, have been identified. Estimates for earlier years have largely been derived using extrapolation and back-casting of apportionments, and as such are subject to much higher levels of uncertainty and should be used with an appropriate level of caution.</w:t>
      </w:r>
      <w:r w:rsidRPr="00FB0BB6">
        <w:t>. Care should therefore be taken when analysing longer term trends. Most of the commentary in this paper will focus on post-2010 trends.</w:t>
      </w:r>
    </w:p>
    <w:p w14:paraId="2B4182A3" w14:textId="2CF8F3B9" w:rsidR="007C7952" w:rsidRPr="00FB0BB6" w:rsidRDefault="007C7952" w:rsidP="007C7952">
      <w:pPr>
        <w:pStyle w:val="SGBodytext"/>
      </w:pPr>
      <w:r w:rsidRPr="00FB0BB6">
        <w:t xml:space="preserve">This work complements </w:t>
      </w:r>
      <w:r>
        <w:t>other</w:t>
      </w:r>
      <w:r w:rsidRPr="00FB0BB6">
        <w:t xml:space="preserve"> </w:t>
      </w:r>
      <w:r>
        <w:t>e</w:t>
      </w:r>
      <w:r w:rsidRPr="00FB0BB6">
        <w:t xml:space="preserve">xperimental </w:t>
      </w:r>
      <w:r>
        <w:t>s</w:t>
      </w:r>
      <w:r w:rsidRPr="00FB0BB6">
        <w:t>tatistics</w:t>
      </w:r>
      <w:r>
        <w:t xml:space="preserve"> which have been developed to better understand the whole economy In particular, the latest release of the </w:t>
      </w:r>
      <w:hyperlink r:id="rId13" w:history="1">
        <w:r w:rsidRPr="00326ACB">
          <w:rPr>
            <w:rStyle w:val="Hyperlink"/>
          </w:rPr>
          <w:t>Supply and Use Satellite Accounts for extra-</w:t>
        </w:r>
        <w:proofErr w:type="spellStart"/>
        <w:r w:rsidRPr="00326ACB">
          <w:rPr>
            <w:rStyle w:val="Hyperlink"/>
          </w:rPr>
          <w:t>regio</w:t>
        </w:r>
        <w:proofErr w:type="spellEnd"/>
        <w:r w:rsidRPr="00326ACB">
          <w:rPr>
            <w:rStyle w:val="Hyperlink"/>
          </w:rPr>
          <w:t xml:space="preserve"> economic activities for 1998-2021</w:t>
        </w:r>
      </w:hyperlink>
      <w:r w:rsidR="00326ACB">
        <w:t xml:space="preserve"> </w:t>
      </w:r>
      <w:r w:rsidRPr="00FB0BB6">
        <w:t xml:space="preserve">published in June 2023. All the </w:t>
      </w:r>
      <w:proofErr w:type="spellStart"/>
      <w:r w:rsidRPr="00FB0BB6">
        <w:t>GNI</w:t>
      </w:r>
      <w:proofErr w:type="spellEnd"/>
      <w:r w:rsidRPr="00FB0BB6">
        <w:t xml:space="preserve"> estimates in this paper relate to the same </w:t>
      </w:r>
      <w:r>
        <w:t xml:space="preserve">economic territory for </w:t>
      </w:r>
      <w:r w:rsidRPr="00FB0BB6">
        <w:t xml:space="preserve"> Scotland i.e. including Scottish adjacent waters and the underlying continental shelf, plus an illustrative population share of UK overseas</w:t>
      </w:r>
      <w:r>
        <w:t xml:space="preserve"> public administration and defence activities</w:t>
      </w:r>
      <w:r w:rsidRPr="00FB0BB6">
        <w:t>.</w:t>
      </w:r>
    </w:p>
    <w:p w14:paraId="7252BA25" w14:textId="7D47CE4D" w:rsidR="00DC4610" w:rsidRPr="00F748F9" w:rsidRDefault="00373644" w:rsidP="008D39E0">
      <w:pPr>
        <w:pStyle w:val="Heading2"/>
        <w:tabs>
          <w:tab w:val="left" w:pos="360"/>
        </w:tabs>
      </w:pPr>
      <w:r w:rsidRPr="00F748F9">
        <w:t xml:space="preserve">Producing </w:t>
      </w:r>
      <w:bookmarkEnd w:id="11"/>
      <w:bookmarkEnd w:id="12"/>
      <w:proofErr w:type="spellStart"/>
      <w:r w:rsidR="00F26592" w:rsidRPr="00F748F9">
        <w:t>GNI</w:t>
      </w:r>
      <w:proofErr w:type="spellEnd"/>
      <w:r w:rsidR="00F26592" w:rsidRPr="00F748F9">
        <w:t xml:space="preserve"> Estimates for Scotland</w:t>
      </w:r>
      <w:bookmarkEnd w:id="13"/>
    </w:p>
    <w:p w14:paraId="04366ECC" w14:textId="0F148729" w:rsidR="00D3513E" w:rsidRPr="007C7952" w:rsidRDefault="00525F2E" w:rsidP="007C7952">
      <w:pPr>
        <w:pStyle w:val="SGBodytext"/>
      </w:pPr>
      <w:r w:rsidRPr="00F748F9">
        <w:t xml:space="preserve">To establish </w:t>
      </w:r>
      <w:proofErr w:type="spellStart"/>
      <w:r w:rsidRPr="00F748F9">
        <w:t>GNI</w:t>
      </w:r>
      <w:proofErr w:type="spellEnd"/>
      <w:r w:rsidRPr="00F748F9">
        <w:t xml:space="preserve"> for Scotland we need to construct a Primary Income Account which provides the flows needed to adjust GDP to </w:t>
      </w:r>
      <w:proofErr w:type="spellStart"/>
      <w:r w:rsidRPr="00F748F9">
        <w:t>GNI</w:t>
      </w:r>
      <w:proofErr w:type="spellEnd"/>
      <w:r w:rsidRPr="00F748F9">
        <w:t>.</w:t>
      </w:r>
      <w:bookmarkStart w:id="14" w:name="_Toc138594588"/>
    </w:p>
    <w:p w14:paraId="4E42CACE" w14:textId="77777777" w:rsidR="007C7952" w:rsidRPr="007C7952" w:rsidRDefault="007C7952" w:rsidP="007C7952">
      <w:pPr>
        <w:pStyle w:val="ListParagraph"/>
        <w:numPr>
          <w:ilvl w:val="0"/>
          <w:numId w:val="26"/>
        </w:numPr>
        <w:tabs>
          <w:tab w:val="clear" w:pos="0"/>
          <w:tab w:val="clear" w:pos="1440"/>
          <w:tab w:val="clear" w:pos="2160"/>
          <w:tab w:val="clear" w:pos="2880"/>
          <w:tab w:val="clear" w:pos="4680"/>
          <w:tab w:val="clear" w:pos="5400"/>
          <w:tab w:val="clear" w:pos="9000"/>
          <w:tab w:val="left" w:pos="360"/>
        </w:tabs>
        <w:spacing w:before="180" w:beforeAutospacing="0" w:after="120" w:afterAutospacing="0" w:line="300" w:lineRule="exact"/>
        <w:ind w:right="0"/>
        <w:contextualSpacing w:val="0"/>
        <w:outlineLvl w:val="2"/>
        <w:rPr>
          <w:rFonts w:eastAsia="Times New Roman" w:cs="Times New Roman"/>
          <w:b/>
          <w:iCs w:val="0"/>
          <w:vanish/>
          <w:sz w:val="24"/>
          <w:szCs w:val="20"/>
          <w:lang w:val="en-GB"/>
        </w:rPr>
      </w:pPr>
    </w:p>
    <w:p w14:paraId="1343C796" w14:textId="5101D485" w:rsidR="008070A4" w:rsidRPr="007C7952" w:rsidRDefault="00525F2E" w:rsidP="007C7952">
      <w:pPr>
        <w:tabs>
          <w:tab w:val="clear" w:pos="720"/>
          <w:tab w:val="left" w:pos="0"/>
          <w:tab w:val="left" w:pos="360"/>
        </w:tabs>
        <w:spacing w:before="100" w:beforeAutospacing="1" w:after="100" w:afterAutospacing="1" w:line="240" w:lineRule="auto"/>
        <w:ind w:left="142" w:right="113"/>
        <w:rPr>
          <w:rFonts w:cs="Arial"/>
          <w:b/>
          <w:sz w:val="24"/>
          <w:szCs w:val="24"/>
          <w:u w:val="single"/>
        </w:rPr>
      </w:pPr>
      <w:r w:rsidRPr="007C7952">
        <w:rPr>
          <w:rFonts w:cs="Arial"/>
          <w:b/>
          <w:sz w:val="24"/>
          <w:szCs w:val="24"/>
          <w:u w:val="single"/>
        </w:rPr>
        <w:t>Primary Income</w:t>
      </w:r>
      <w:bookmarkEnd w:id="14"/>
    </w:p>
    <w:p w14:paraId="00339F50" w14:textId="675A2039" w:rsidR="00525F2E" w:rsidRPr="00F748F9" w:rsidRDefault="00525F2E" w:rsidP="007C7952">
      <w:pPr>
        <w:pStyle w:val="SGBodytext"/>
      </w:pPr>
      <w:r w:rsidRPr="00F748F9">
        <w:t xml:space="preserve">Primary income represents the </w:t>
      </w:r>
      <w:r w:rsidR="00B320BC" w:rsidRPr="00F748F9">
        <w:t>income</w:t>
      </w:r>
      <w:r w:rsidRPr="00F748F9">
        <w:t xml:space="preserve"> </w:t>
      </w:r>
      <w:r w:rsidR="00B320BC" w:rsidRPr="00F748F9">
        <w:t>of</w:t>
      </w:r>
      <w:r w:rsidRPr="00F748F9">
        <w:t xml:space="preserve"> institutional units</w:t>
      </w:r>
      <w:r w:rsidR="00B320BC" w:rsidRPr="00F748F9">
        <w:t xml:space="preserve"> (such as households, companies etc.)</w:t>
      </w:r>
      <w:r w:rsidRPr="00F748F9">
        <w:t xml:space="preserve"> </w:t>
      </w:r>
      <w:r w:rsidR="00B320BC" w:rsidRPr="00F748F9">
        <w:t>from</w:t>
      </w:r>
      <w:r w:rsidRPr="00F748F9">
        <w:t xml:space="preserve"> their contribution to the production process or for the provision of financial assets and renting natural resources to othe</w:t>
      </w:r>
      <w:r w:rsidR="00291EFB" w:rsidRPr="00F748F9">
        <w:t>r</w:t>
      </w:r>
      <w:r w:rsidRPr="00F748F9">
        <w:t xml:space="preserve"> institutional units.</w:t>
      </w:r>
    </w:p>
    <w:p w14:paraId="159460C9" w14:textId="42BDB4A4" w:rsidR="00B320BC" w:rsidRPr="00F748F9" w:rsidRDefault="00EB156F" w:rsidP="007C7952">
      <w:pPr>
        <w:pStyle w:val="SGBodytext"/>
        <w:rPr>
          <w:rStyle w:val="SGBoldCharacter"/>
          <w:b w:val="0"/>
        </w:rPr>
      </w:pPr>
      <w:r w:rsidRPr="00F748F9">
        <w:rPr>
          <w:rStyle w:val="SGBoldCharacter"/>
          <w:b w:val="0"/>
        </w:rPr>
        <w:lastRenderedPageBreak/>
        <w:t xml:space="preserve">To estimate </w:t>
      </w:r>
      <w:proofErr w:type="spellStart"/>
      <w:r w:rsidRPr="00F748F9">
        <w:rPr>
          <w:rStyle w:val="SGBoldCharacter"/>
          <w:b w:val="0"/>
        </w:rPr>
        <w:t>GNI</w:t>
      </w:r>
      <w:proofErr w:type="spellEnd"/>
      <w:r w:rsidRPr="00F748F9">
        <w:rPr>
          <w:rStyle w:val="SGBoldCharacter"/>
          <w:b w:val="0"/>
        </w:rPr>
        <w:t xml:space="preserve"> from GDP the following flows need to be considered:</w:t>
      </w:r>
    </w:p>
    <w:p w14:paraId="7E92E6EA" w14:textId="77777777" w:rsidR="00EB156F" w:rsidRPr="007C7952" w:rsidRDefault="00EB156F" w:rsidP="007C7952">
      <w:pPr>
        <w:tabs>
          <w:tab w:val="clear" w:pos="720"/>
          <w:tab w:val="left" w:pos="0"/>
          <w:tab w:val="left" w:pos="360"/>
        </w:tabs>
        <w:spacing w:before="100" w:beforeAutospacing="1" w:after="100" w:afterAutospacing="1" w:line="240" w:lineRule="auto"/>
        <w:ind w:left="142" w:right="113"/>
        <w:rPr>
          <w:rFonts w:cs="Arial"/>
          <w:b/>
          <w:sz w:val="24"/>
          <w:szCs w:val="24"/>
          <w:u w:val="single"/>
        </w:rPr>
      </w:pPr>
      <w:r w:rsidRPr="007C7952">
        <w:rPr>
          <w:rFonts w:cs="Arial"/>
          <w:b/>
          <w:sz w:val="24"/>
          <w:szCs w:val="24"/>
          <w:u w:val="single"/>
        </w:rPr>
        <w:t>Compensation of Employees (</w:t>
      </w:r>
      <w:proofErr w:type="spellStart"/>
      <w:r w:rsidRPr="007C7952">
        <w:rPr>
          <w:rFonts w:cs="Arial"/>
          <w:b/>
          <w:sz w:val="24"/>
          <w:szCs w:val="24"/>
          <w:u w:val="single"/>
        </w:rPr>
        <w:t>CoE</w:t>
      </w:r>
      <w:proofErr w:type="spellEnd"/>
      <w:r w:rsidRPr="007C7952">
        <w:rPr>
          <w:rFonts w:cs="Arial"/>
          <w:b/>
          <w:sz w:val="24"/>
          <w:szCs w:val="24"/>
          <w:u w:val="single"/>
        </w:rPr>
        <w:t>)</w:t>
      </w:r>
    </w:p>
    <w:p w14:paraId="64B1971E" w14:textId="77777777" w:rsidR="00EB156F" w:rsidRPr="00F748F9" w:rsidRDefault="00EB156F"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This includes wages and other benefits received by workers who cross national borders to reach their place of normal work or to seasonal or short-term workers who are resident in the country for less than a year.</w:t>
      </w:r>
    </w:p>
    <w:p w14:paraId="6EE89F78" w14:textId="1683AA7C" w:rsidR="00EB156F" w:rsidRPr="00F748F9" w:rsidRDefault="00390F9E" w:rsidP="008D39E0">
      <w:pPr>
        <w:tabs>
          <w:tab w:val="clear" w:pos="720"/>
          <w:tab w:val="left" w:pos="0"/>
          <w:tab w:val="left" w:pos="360"/>
        </w:tabs>
        <w:spacing w:before="100" w:beforeAutospacing="1" w:after="100" w:afterAutospacing="1" w:line="240" w:lineRule="auto"/>
        <w:ind w:left="142" w:right="113"/>
        <w:rPr>
          <w:rFonts w:cs="Arial"/>
          <w:b/>
          <w:sz w:val="24"/>
          <w:szCs w:val="24"/>
          <w:u w:val="single"/>
        </w:rPr>
      </w:pPr>
      <w:r w:rsidRPr="00F748F9">
        <w:rPr>
          <w:rFonts w:cs="Arial"/>
          <w:b/>
          <w:sz w:val="24"/>
          <w:szCs w:val="24"/>
          <w:u w:val="single"/>
        </w:rPr>
        <w:t xml:space="preserve">Earnings on </w:t>
      </w:r>
      <w:r w:rsidR="00FD20C2" w:rsidRPr="00F748F9">
        <w:rPr>
          <w:rFonts w:cs="Arial"/>
          <w:b/>
          <w:sz w:val="24"/>
          <w:szCs w:val="24"/>
          <w:u w:val="single"/>
        </w:rPr>
        <w:t>Direct Investment</w:t>
      </w:r>
    </w:p>
    <w:p w14:paraId="596D9FF3" w14:textId="4EAB629E" w:rsidR="00EB156F" w:rsidRPr="00F748F9" w:rsidRDefault="00EB156F" w:rsidP="008D39E0">
      <w:pPr>
        <w:tabs>
          <w:tab w:val="clear" w:pos="720"/>
          <w:tab w:val="left" w:pos="0"/>
          <w:tab w:val="left" w:pos="360"/>
        </w:tabs>
        <w:spacing w:before="100" w:beforeAutospacing="1" w:after="100" w:afterAutospacing="1" w:line="240" w:lineRule="auto"/>
        <w:ind w:left="142" w:right="113"/>
        <w:rPr>
          <w:rStyle w:val="SGBoldCharacter"/>
          <w:rFonts w:cs="Arial"/>
          <w:b w:val="0"/>
          <w:sz w:val="24"/>
          <w:szCs w:val="24"/>
        </w:rPr>
      </w:pPr>
      <w:r w:rsidRPr="00F748F9">
        <w:rPr>
          <w:rFonts w:cs="Arial"/>
          <w:sz w:val="24"/>
          <w:szCs w:val="24"/>
        </w:rPr>
        <w:t>This covers earnings made when Scottish residents have an equity interest of 10% or more in a foreign company (or vice versa).</w:t>
      </w:r>
      <w:r w:rsidR="00390F9E" w:rsidRPr="00F748F9">
        <w:rPr>
          <w:rFonts w:cs="Arial"/>
          <w:sz w:val="24"/>
          <w:szCs w:val="24"/>
        </w:rPr>
        <w:t xml:space="preserve"> Changes in the stock of direct </w:t>
      </w:r>
      <w:r w:rsidR="00C25ED7" w:rsidRPr="00F748F9">
        <w:rPr>
          <w:rFonts w:cs="Arial"/>
          <w:sz w:val="24"/>
          <w:szCs w:val="24"/>
        </w:rPr>
        <w:t>investment (</w:t>
      </w:r>
      <w:r w:rsidR="00390F9E" w:rsidRPr="00F748F9">
        <w:rPr>
          <w:rFonts w:cs="Arial"/>
          <w:sz w:val="24"/>
          <w:szCs w:val="24"/>
        </w:rPr>
        <w:t xml:space="preserve">i.e. mergers and acquisitions, etc.) are not included in </w:t>
      </w:r>
      <w:proofErr w:type="spellStart"/>
      <w:r w:rsidR="00390F9E" w:rsidRPr="00F748F9">
        <w:rPr>
          <w:rFonts w:cs="Arial"/>
          <w:sz w:val="24"/>
          <w:szCs w:val="24"/>
        </w:rPr>
        <w:t>GNI</w:t>
      </w:r>
      <w:proofErr w:type="spellEnd"/>
      <w:r w:rsidR="00390F9E" w:rsidRPr="00F748F9">
        <w:rPr>
          <w:rFonts w:cs="Arial"/>
          <w:sz w:val="24"/>
          <w:szCs w:val="24"/>
        </w:rPr>
        <w:t>.</w:t>
      </w:r>
    </w:p>
    <w:p w14:paraId="6E29638E" w14:textId="3AFD9BA7" w:rsidR="00EB156F" w:rsidRPr="00F748F9" w:rsidRDefault="00390F9E" w:rsidP="008D39E0">
      <w:pPr>
        <w:tabs>
          <w:tab w:val="clear" w:pos="720"/>
          <w:tab w:val="left" w:pos="0"/>
          <w:tab w:val="left" w:pos="360"/>
        </w:tabs>
        <w:spacing w:before="100" w:beforeAutospacing="1" w:after="100" w:afterAutospacing="1" w:line="240" w:lineRule="auto"/>
        <w:ind w:left="142" w:right="113"/>
        <w:rPr>
          <w:rFonts w:cs="Arial"/>
          <w:b/>
          <w:sz w:val="24"/>
          <w:szCs w:val="24"/>
          <w:u w:val="single"/>
        </w:rPr>
      </w:pPr>
      <w:r w:rsidRPr="00F748F9">
        <w:rPr>
          <w:rFonts w:cs="Arial"/>
          <w:b/>
          <w:sz w:val="24"/>
          <w:szCs w:val="24"/>
          <w:u w:val="single"/>
        </w:rPr>
        <w:t xml:space="preserve">Earnings on </w:t>
      </w:r>
      <w:r w:rsidR="00EB156F" w:rsidRPr="00F748F9">
        <w:rPr>
          <w:rFonts w:cs="Arial"/>
          <w:b/>
          <w:sz w:val="24"/>
          <w:szCs w:val="24"/>
          <w:u w:val="single"/>
        </w:rPr>
        <w:t xml:space="preserve">Portfolio Investment </w:t>
      </w:r>
    </w:p>
    <w:p w14:paraId="0CD8A472" w14:textId="65EFF2C9" w:rsidR="00EB156F" w:rsidRPr="00F748F9" w:rsidRDefault="00EB156F" w:rsidP="008D39E0">
      <w:pPr>
        <w:tabs>
          <w:tab w:val="clear" w:pos="720"/>
          <w:tab w:val="left" w:pos="0"/>
          <w:tab w:val="left" w:pos="360"/>
        </w:tabs>
        <w:spacing w:before="100" w:beforeAutospacing="1" w:after="100" w:afterAutospacing="1" w:line="240" w:lineRule="auto"/>
        <w:ind w:left="142" w:right="113"/>
        <w:rPr>
          <w:rStyle w:val="SGBoldCharacter"/>
          <w:rFonts w:cs="Arial"/>
          <w:b w:val="0"/>
          <w:sz w:val="24"/>
          <w:szCs w:val="24"/>
        </w:rPr>
      </w:pPr>
      <w:r w:rsidRPr="00F748F9">
        <w:rPr>
          <w:rFonts w:cs="Arial"/>
          <w:sz w:val="24"/>
          <w:szCs w:val="24"/>
        </w:rPr>
        <w:t>This includes earnings from investment in equity securities (shares) or debt securities where the investor owns less than 10% of the enterprise. This also includes UK Government debt interest payments to non-residents</w:t>
      </w:r>
      <w:r w:rsidR="00390F9E" w:rsidRPr="00F748F9">
        <w:rPr>
          <w:rFonts w:cs="Arial"/>
          <w:sz w:val="24"/>
          <w:szCs w:val="24"/>
        </w:rPr>
        <w:t xml:space="preserve">. Changes in the stocks held as portfolio investment (i.e. purchase or sale of shares, etc.) are not included in </w:t>
      </w:r>
      <w:proofErr w:type="spellStart"/>
      <w:r w:rsidR="00390F9E" w:rsidRPr="00F748F9">
        <w:rPr>
          <w:rFonts w:cs="Arial"/>
          <w:sz w:val="24"/>
          <w:szCs w:val="24"/>
        </w:rPr>
        <w:t>GNI</w:t>
      </w:r>
      <w:proofErr w:type="spellEnd"/>
      <w:r w:rsidR="00390F9E" w:rsidRPr="00F748F9">
        <w:rPr>
          <w:rFonts w:cs="Arial"/>
          <w:sz w:val="24"/>
          <w:szCs w:val="24"/>
        </w:rPr>
        <w:t>.</w:t>
      </w:r>
    </w:p>
    <w:p w14:paraId="6FAFF6F5" w14:textId="3CFE60B8" w:rsidR="00EB156F" w:rsidRPr="00F748F9" w:rsidRDefault="00390F9E" w:rsidP="008D39E0">
      <w:pPr>
        <w:tabs>
          <w:tab w:val="clear" w:pos="720"/>
          <w:tab w:val="left" w:pos="0"/>
          <w:tab w:val="left" w:pos="360"/>
        </w:tabs>
        <w:spacing w:before="100" w:beforeAutospacing="1" w:after="100" w:afterAutospacing="1" w:line="240" w:lineRule="auto"/>
        <w:ind w:left="142" w:right="113"/>
        <w:rPr>
          <w:rFonts w:cs="Arial"/>
          <w:b/>
          <w:sz w:val="24"/>
          <w:szCs w:val="24"/>
          <w:u w:val="single"/>
        </w:rPr>
      </w:pPr>
      <w:r w:rsidRPr="00F748F9">
        <w:rPr>
          <w:rFonts w:cs="Arial"/>
          <w:b/>
          <w:sz w:val="24"/>
          <w:szCs w:val="24"/>
          <w:u w:val="single"/>
        </w:rPr>
        <w:t xml:space="preserve">Earnings on </w:t>
      </w:r>
      <w:r w:rsidR="00EB156F" w:rsidRPr="00F748F9">
        <w:rPr>
          <w:rFonts w:cs="Arial"/>
          <w:b/>
          <w:sz w:val="24"/>
          <w:szCs w:val="24"/>
          <w:u w:val="single"/>
        </w:rPr>
        <w:t xml:space="preserve">Other Investment </w:t>
      </w:r>
    </w:p>
    <w:p w14:paraId="5F2A2A91" w14:textId="2C0760FB" w:rsidR="00EB156F" w:rsidRPr="00F748F9" w:rsidRDefault="00EB156F" w:rsidP="008D39E0">
      <w:pPr>
        <w:tabs>
          <w:tab w:val="clear" w:pos="720"/>
          <w:tab w:val="left" w:pos="0"/>
          <w:tab w:val="left" w:pos="360"/>
        </w:tabs>
        <w:spacing w:before="100" w:beforeAutospacing="1" w:after="100" w:afterAutospacing="1" w:line="240" w:lineRule="auto"/>
        <w:ind w:left="142" w:right="113"/>
        <w:rPr>
          <w:rStyle w:val="SGBoldCharacter"/>
          <w:rFonts w:cs="Arial"/>
          <w:b w:val="0"/>
          <w:sz w:val="24"/>
          <w:szCs w:val="24"/>
        </w:rPr>
      </w:pPr>
      <w:r w:rsidRPr="00F748F9">
        <w:rPr>
          <w:rFonts w:cs="Arial"/>
          <w:sz w:val="24"/>
          <w:szCs w:val="24"/>
        </w:rPr>
        <w:t>Other Investment primarily covers interest received from deposits or paid on a loan where one of the parties is not resident in Scotland.</w:t>
      </w:r>
    </w:p>
    <w:p w14:paraId="2EA9F7FA" w14:textId="77777777" w:rsidR="00EB156F" w:rsidRPr="00F748F9" w:rsidRDefault="00EB156F" w:rsidP="008D39E0">
      <w:pPr>
        <w:tabs>
          <w:tab w:val="clear" w:pos="720"/>
          <w:tab w:val="left" w:pos="0"/>
          <w:tab w:val="left" w:pos="360"/>
        </w:tabs>
        <w:spacing w:before="100" w:beforeAutospacing="1" w:after="100" w:afterAutospacing="1" w:line="240" w:lineRule="auto"/>
        <w:ind w:left="142" w:right="113"/>
        <w:rPr>
          <w:rFonts w:cs="Arial"/>
          <w:b/>
          <w:sz w:val="24"/>
          <w:szCs w:val="24"/>
          <w:u w:val="single"/>
        </w:rPr>
      </w:pPr>
      <w:r w:rsidRPr="00F748F9">
        <w:rPr>
          <w:rFonts w:cs="Arial"/>
          <w:b/>
          <w:sz w:val="24"/>
          <w:szCs w:val="24"/>
          <w:u w:val="single"/>
        </w:rPr>
        <w:t>Other Primary Income</w:t>
      </w:r>
    </w:p>
    <w:p w14:paraId="3D3F35C3" w14:textId="7C94FF12" w:rsidR="00390F9E" w:rsidRPr="00F748F9" w:rsidRDefault="00390F9E" w:rsidP="008D39E0">
      <w:pPr>
        <w:tabs>
          <w:tab w:val="left" w:pos="0"/>
          <w:tab w:val="left" w:pos="360"/>
        </w:tabs>
        <w:spacing w:before="100" w:beforeAutospacing="1" w:after="100" w:afterAutospacing="1" w:line="240" w:lineRule="auto"/>
        <w:ind w:left="142" w:right="113"/>
        <w:rPr>
          <w:rStyle w:val="SGBoldCharacter"/>
          <w:rFonts w:cs="Arial"/>
          <w:b w:val="0"/>
          <w:sz w:val="24"/>
          <w:szCs w:val="24"/>
        </w:rPr>
      </w:pPr>
      <w:r w:rsidRPr="00F748F9">
        <w:rPr>
          <w:rFonts w:cs="Arial"/>
          <w:sz w:val="24"/>
          <w:szCs w:val="24"/>
        </w:rPr>
        <w:t xml:space="preserve">Taxes paid (and subsidies received) on production from non-residents (e.g. EU import duties and VAT and receipts of EU production subsidies). Taxes on income and wealth, and the majority of EU budget contributions and funding are not included in </w:t>
      </w:r>
      <w:proofErr w:type="spellStart"/>
      <w:r w:rsidRPr="00F748F9">
        <w:rPr>
          <w:rFonts w:cs="Arial"/>
          <w:sz w:val="24"/>
          <w:szCs w:val="24"/>
        </w:rPr>
        <w:t>GNI</w:t>
      </w:r>
      <w:proofErr w:type="spellEnd"/>
      <w:r w:rsidRPr="00F748F9">
        <w:rPr>
          <w:rFonts w:cs="Arial"/>
          <w:sz w:val="24"/>
          <w:szCs w:val="24"/>
        </w:rPr>
        <w:t>.</w:t>
      </w:r>
    </w:p>
    <w:p w14:paraId="7D5E4756" w14:textId="77777777" w:rsidR="00EB156F" w:rsidRPr="00F748F9" w:rsidRDefault="00EB156F" w:rsidP="008D39E0">
      <w:pPr>
        <w:tabs>
          <w:tab w:val="clear" w:pos="720"/>
          <w:tab w:val="left" w:pos="0"/>
          <w:tab w:val="left" w:pos="360"/>
        </w:tabs>
        <w:spacing w:before="100" w:beforeAutospacing="1" w:after="100" w:afterAutospacing="1" w:line="240" w:lineRule="auto"/>
        <w:ind w:left="142" w:right="113"/>
        <w:rPr>
          <w:rFonts w:cs="Arial"/>
          <w:b/>
          <w:sz w:val="24"/>
          <w:szCs w:val="24"/>
          <w:u w:val="single"/>
        </w:rPr>
      </w:pPr>
      <w:r w:rsidRPr="00F748F9">
        <w:rPr>
          <w:rFonts w:cs="Arial"/>
          <w:b/>
          <w:sz w:val="24"/>
          <w:szCs w:val="24"/>
          <w:u w:val="single"/>
        </w:rPr>
        <w:t xml:space="preserve">Reserve Assets </w:t>
      </w:r>
    </w:p>
    <w:p w14:paraId="58BFAABC" w14:textId="4F010DA4" w:rsidR="00EB156F" w:rsidRPr="00F748F9" w:rsidRDefault="00EB156F" w:rsidP="008D39E0">
      <w:pPr>
        <w:tabs>
          <w:tab w:val="clear" w:pos="720"/>
          <w:tab w:val="left" w:pos="0"/>
          <w:tab w:val="left" w:pos="360"/>
        </w:tabs>
        <w:spacing w:before="100" w:beforeAutospacing="1" w:after="100" w:afterAutospacing="1" w:line="240" w:lineRule="auto"/>
        <w:ind w:left="142" w:right="113"/>
        <w:rPr>
          <w:rStyle w:val="SGBoldCharacter"/>
          <w:rFonts w:cs="Arial"/>
          <w:b w:val="0"/>
          <w:sz w:val="24"/>
          <w:szCs w:val="24"/>
        </w:rPr>
      </w:pPr>
      <w:r w:rsidRPr="00F748F9">
        <w:rPr>
          <w:rFonts w:cs="Arial"/>
          <w:sz w:val="24"/>
          <w:szCs w:val="24"/>
        </w:rPr>
        <w:t>Interest received on official foreign exchange reserves and relating to the International Monetary Fund (IMF).</w:t>
      </w:r>
    </w:p>
    <w:p w14:paraId="6036D5EB" w14:textId="73908863" w:rsidR="00DC4610" w:rsidRPr="00D3513E" w:rsidRDefault="00E97342" w:rsidP="008D39E0">
      <w:pPr>
        <w:pStyle w:val="Heading3"/>
        <w:tabs>
          <w:tab w:val="left" w:pos="360"/>
        </w:tabs>
      </w:pPr>
      <w:bookmarkStart w:id="15" w:name="_Toc138594589"/>
      <w:r w:rsidRPr="00D3513E">
        <w:t>Challenges in Developing a Primary Income Account for Scotland</w:t>
      </w:r>
      <w:bookmarkEnd w:id="15"/>
    </w:p>
    <w:p w14:paraId="05D13562" w14:textId="0DA28C50" w:rsidR="00390F9E" w:rsidRPr="00F748F9" w:rsidRDefault="00390F9E" w:rsidP="007C7952">
      <w:pPr>
        <w:pStyle w:val="SGBodytext"/>
      </w:pPr>
      <w:r w:rsidRPr="00F748F9">
        <w:t>Whereas the System of National Accounts</w:t>
      </w:r>
      <w:r w:rsidR="000860CB" w:rsidRPr="00F748F9">
        <w:t xml:space="preserve"> (SNA)</w:t>
      </w:r>
      <w:r w:rsidR="000860CB" w:rsidRPr="00F748F9">
        <w:rPr>
          <w:rStyle w:val="FootnoteReference"/>
        </w:rPr>
        <w:footnoteReference w:id="1"/>
      </w:r>
      <w:r w:rsidRPr="00F748F9">
        <w:t xml:space="preserve"> provides guidance for countries to produce sub-</w:t>
      </w:r>
      <w:r w:rsidR="000860CB" w:rsidRPr="00F748F9">
        <w:t xml:space="preserve">national </w:t>
      </w:r>
      <w:proofErr w:type="spellStart"/>
      <w:r w:rsidR="000860CB" w:rsidRPr="00F748F9">
        <w:t>GVA</w:t>
      </w:r>
      <w:proofErr w:type="spellEnd"/>
      <w:r w:rsidR="000860CB" w:rsidRPr="00F748F9">
        <w:t xml:space="preserve"> or GDP statistics</w:t>
      </w:r>
      <w:r w:rsidRPr="00F748F9">
        <w:t xml:space="preserve">, there is no guidance or requirement in either </w:t>
      </w:r>
      <w:r w:rsidR="00514C08" w:rsidRPr="00F748F9">
        <w:t xml:space="preserve">the </w:t>
      </w:r>
      <w:r w:rsidR="000860CB" w:rsidRPr="00F748F9">
        <w:t>SNA</w:t>
      </w:r>
      <w:r w:rsidRPr="00F748F9">
        <w:t xml:space="preserve"> or B</w:t>
      </w:r>
      <w:r w:rsidR="00514C08" w:rsidRPr="00F748F9">
        <w:t>alance of Payments</w:t>
      </w:r>
      <w:r w:rsidR="00514C08" w:rsidRPr="00F748F9">
        <w:rPr>
          <w:rStyle w:val="FootnoteReference"/>
        </w:rPr>
        <w:footnoteReference w:id="2"/>
      </w:r>
      <w:r w:rsidR="00514C08" w:rsidRPr="00F748F9">
        <w:t xml:space="preserve"> (BOP)</w:t>
      </w:r>
      <w:r w:rsidRPr="00F748F9">
        <w:t xml:space="preserve"> for the equivalent production of sub</w:t>
      </w:r>
      <w:r w:rsidR="00514C08" w:rsidRPr="00F748F9">
        <w:t>-</w:t>
      </w:r>
      <w:r w:rsidRPr="00F748F9">
        <w:t xml:space="preserve">national </w:t>
      </w:r>
      <w:proofErr w:type="spellStart"/>
      <w:r w:rsidRPr="00F748F9">
        <w:t>GNI</w:t>
      </w:r>
      <w:proofErr w:type="spellEnd"/>
      <w:r w:rsidRPr="00F748F9">
        <w:t xml:space="preserve">. We are unaware of any precedent for </w:t>
      </w:r>
      <w:proofErr w:type="spellStart"/>
      <w:r w:rsidRPr="00F748F9">
        <w:t>GNI</w:t>
      </w:r>
      <w:proofErr w:type="spellEnd"/>
      <w:r w:rsidRPr="00F748F9">
        <w:t xml:space="preserve"> being produced for sub-national areas (for example, whereas regional accounts for GDP are commonplace, there are no Gross Regional Income statistics or similar). This highlights the boldness and novelty of this work, but also underlines why there are conceptual and practical </w:t>
      </w:r>
      <w:r w:rsidR="00ED6683" w:rsidRPr="00F748F9">
        <w:t xml:space="preserve">challenges </w:t>
      </w:r>
      <w:r w:rsidRPr="00F748F9">
        <w:t>leading to uncertainty in the results.</w:t>
      </w:r>
    </w:p>
    <w:p w14:paraId="59CBBC8F" w14:textId="55B99050" w:rsidR="00072EEB" w:rsidRPr="00F748F9" w:rsidRDefault="00E97342" w:rsidP="007C7952">
      <w:pPr>
        <w:pStyle w:val="SGBodytext"/>
      </w:pPr>
      <w:r w:rsidRPr="00F748F9">
        <w:lastRenderedPageBreak/>
        <w:t>Developing a</w:t>
      </w:r>
      <w:r w:rsidR="00514C08" w:rsidRPr="00F748F9">
        <w:t xml:space="preserve"> Primary</w:t>
      </w:r>
      <w:r w:rsidRPr="00F748F9">
        <w:t xml:space="preserve"> </w:t>
      </w:r>
      <w:r w:rsidR="00514C08" w:rsidRPr="00F748F9">
        <w:t>I</w:t>
      </w:r>
      <w:r w:rsidRPr="00F748F9">
        <w:t xml:space="preserve">ncome </w:t>
      </w:r>
      <w:r w:rsidR="00514C08" w:rsidRPr="00F748F9">
        <w:t>A</w:t>
      </w:r>
      <w:r w:rsidRPr="00F748F9">
        <w:t>ccount for Scotland involves several challenges not present in the production of estimates such as GDP for Scotland. Firstly, a different set of concepts is involved: in producing GDP, the focus is on collating information which measures the economic activity in Scotland, regardless of who is undertaking it. Produ</w:t>
      </w:r>
      <w:r w:rsidR="003B4E84" w:rsidRPr="00F748F9">
        <w:t>c</w:t>
      </w:r>
      <w:r w:rsidRPr="00F748F9">
        <w:t>tion of a Primary Income Account requires the measures of economic activity to be disaggregated into activity undertaken by residents and non-residents (or businesses owned by non-residents); it therefore requires another level of information to be added to the data which inform GDP. In addition, a Primary Income Acco</w:t>
      </w:r>
      <w:r w:rsidR="003B4E84" w:rsidRPr="00F748F9">
        <w:t>unt requires information</w:t>
      </w:r>
      <w:r w:rsidRPr="00F748F9">
        <w:t xml:space="preserve"> to be collected</w:t>
      </w:r>
      <w:r w:rsidR="003B4E84" w:rsidRPr="00F748F9">
        <w:t xml:space="preserve"> on the economic activities of Scottish residents, and the activities of any business that they own, in foreign countries. This information is not required in the production of GDP.</w:t>
      </w:r>
    </w:p>
    <w:p w14:paraId="3053B188" w14:textId="6608F796" w:rsidR="0026135B" w:rsidRPr="00F748F9" w:rsidRDefault="00326568" w:rsidP="007C7952">
      <w:pPr>
        <w:pStyle w:val="SGBodytext"/>
      </w:pPr>
      <w:r w:rsidRPr="00F748F9">
        <w:t xml:space="preserve">In producing a Primary Income Account for Scotland, there is the </w:t>
      </w:r>
      <w:r w:rsidR="0026135B" w:rsidRPr="00F748F9">
        <w:t>additional difficulty that UK firms reporting their activity in the UK or overseas are not required to report whether or not they are Scottish firms. This requires further work looking at which UK firms can be considered to be Scottish firms. Finally, there is the problem that for some income flows, no or only limited Scottish data are collected</w:t>
      </w:r>
      <w:r w:rsidR="00391005" w:rsidRPr="00F748F9">
        <w:t xml:space="preserve"> – such as when an income flow is assigned to the UK headquarters, the company could then reinvest the earnings in different sites</w:t>
      </w:r>
      <w:r w:rsidR="0026135B" w:rsidRPr="00F748F9">
        <w:t xml:space="preserve">. Where the ONS undertakes surveys of UK companies, Scottish companies are included in these surveys, but as the surveys are designed to represent the whole of the UK, the coverage in Scotland may be smaller than might be desired. These surveys also tend to only cover interactions between UK residents and foreign residents. Data on </w:t>
      </w:r>
      <w:r w:rsidR="00132B4B" w:rsidRPr="00F748F9">
        <w:t xml:space="preserve">financial flows </w:t>
      </w:r>
      <w:r w:rsidR="0026135B" w:rsidRPr="00F748F9">
        <w:t xml:space="preserve">between Scotland and </w:t>
      </w:r>
      <w:r w:rsidR="000860CB" w:rsidRPr="00F748F9">
        <w:t>the rest of the UK (</w:t>
      </w:r>
      <w:proofErr w:type="spellStart"/>
      <w:r w:rsidR="0026135B" w:rsidRPr="00F748F9">
        <w:t>RUK</w:t>
      </w:r>
      <w:proofErr w:type="spellEnd"/>
      <w:r w:rsidR="000860CB" w:rsidRPr="00F748F9">
        <w:t>)</w:t>
      </w:r>
      <w:r w:rsidR="0026135B" w:rsidRPr="00F748F9">
        <w:t xml:space="preserve"> are limited.</w:t>
      </w:r>
    </w:p>
    <w:p w14:paraId="7BB2C18D" w14:textId="6EC17BAA" w:rsidR="00D2377D" w:rsidRPr="00F748F9" w:rsidRDefault="0026135B" w:rsidP="007C7952">
      <w:pPr>
        <w:pStyle w:val="SGBodytext"/>
      </w:pPr>
      <w:r w:rsidRPr="00F748F9">
        <w:t xml:space="preserve">Taken together, the challenges mean that it is inevitable that the estimates in the Primary Income Account will be subject to uncertainty. It also means that a range of different data sources and methodologies have to be used. For most flows with </w:t>
      </w:r>
      <w:r w:rsidR="000860CB" w:rsidRPr="00F748F9">
        <w:t>the rest of the world (</w:t>
      </w:r>
      <w:r w:rsidR="008A04A8" w:rsidRPr="00F748F9">
        <w:t>ROW</w:t>
      </w:r>
      <w:r w:rsidR="000860CB" w:rsidRPr="00F748F9">
        <w:t>)</w:t>
      </w:r>
      <w:r w:rsidR="008A04A8" w:rsidRPr="00F748F9">
        <w:t>, Scotland is allo</w:t>
      </w:r>
      <w:r w:rsidRPr="00F748F9">
        <w:t>cated a share of the UK total, based on an apportionment method. Direct Investment flows with ROW have been derived from company level data, and these, which include</w:t>
      </w:r>
      <w:r w:rsidR="008A04A8" w:rsidRPr="00F748F9">
        <w:t xml:space="preserve"> flows associated with the North Sea, are considered the best</w:t>
      </w:r>
      <w:r w:rsidR="007756E2" w:rsidRPr="00F748F9">
        <w:t xml:space="preserve"> quality estimates in the analysis. Flows with </w:t>
      </w:r>
      <w:proofErr w:type="spellStart"/>
      <w:r w:rsidR="007756E2" w:rsidRPr="00F748F9">
        <w:t>RUK</w:t>
      </w:r>
      <w:proofErr w:type="spellEnd"/>
      <w:r w:rsidR="007756E2" w:rsidRPr="00F748F9">
        <w:t xml:space="preserve"> have been estimated at the aggregate level from existing National Accounts and UK and Scottish business statistics data.</w:t>
      </w:r>
    </w:p>
    <w:p w14:paraId="2DB54CA7" w14:textId="73E8600A" w:rsidR="008C1090" w:rsidRPr="00F748F9" w:rsidRDefault="00D2377D" w:rsidP="008D39E0">
      <w:pPr>
        <w:pStyle w:val="Heading3"/>
        <w:tabs>
          <w:tab w:val="left" w:pos="360"/>
        </w:tabs>
      </w:pPr>
      <w:bookmarkStart w:id="16" w:name="_Toc507015556"/>
      <w:bookmarkStart w:id="17" w:name="_Toc138594590"/>
      <w:r w:rsidRPr="00F748F9">
        <w:t>K</w:t>
      </w:r>
      <w:r w:rsidR="008C1090" w:rsidRPr="00F748F9">
        <w:t>ey data sources and model parameters</w:t>
      </w:r>
      <w:bookmarkEnd w:id="16"/>
      <w:bookmarkEnd w:id="17"/>
    </w:p>
    <w:p w14:paraId="77DA1BD7" w14:textId="2D1A248A" w:rsidR="003B4E84" w:rsidRPr="00F748F9" w:rsidRDefault="00D2377D" w:rsidP="007C7952">
      <w:pPr>
        <w:pStyle w:val="SGBodytext"/>
      </w:pPr>
      <w:r w:rsidRPr="00F748F9">
        <w:t>The headline Primary Income Account figures for the UK are taken from two sources:</w:t>
      </w:r>
    </w:p>
    <w:p w14:paraId="2D24C7B1" w14:textId="77777777" w:rsidR="00F83420" w:rsidRPr="00F748F9" w:rsidRDefault="00D2377D" w:rsidP="007C7952">
      <w:pPr>
        <w:pStyle w:val="SGBodytext"/>
        <w:numPr>
          <w:ilvl w:val="0"/>
          <w:numId w:val="55"/>
        </w:numPr>
      </w:pPr>
      <w:r w:rsidRPr="00F748F9">
        <w:t>Quarterly high-level results from the UK Economic Accounts</w:t>
      </w:r>
      <w:r w:rsidRPr="00B71181">
        <w:rPr>
          <w:vertAlign w:val="superscript"/>
        </w:rPr>
        <w:footnoteReference w:id="3"/>
      </w:r>
      <w:r w:rsidRPr="00F748F9">
        <w:t xml:space="preserve">; and </w:t>
      </w:r>
    </w:p>
    <w:p w14:paraId="020C7D33" w14:textId="4FB99018" w:rsidR="00D2377D" w:rsidRPr="00F748F9" w:rsidRDefault="00D2377D" w:rsidP="007C7952">
      <w:pPr>
        <w:pStyle w:val="SGBodytext"/>
        <w:numPr>
          <w:ilvl w:val="0"/>
          <w:numId w:val="55"/>
        </w:numPr>
      </w:pPr>
      <w:r w:rsidRPr="00F748F9">
        <w:t xml:space="preserve">Annual detailed breakdowns </w:t>
      </w:r>
      <w:r w:rsidR="008058B8" w:rsidRPr="00F748F9">
        <w:t>from the</w:t>
      </w:r>
      <w:r w:rsidRPr="00F748F9">
        <w:t xml:space="preserve"> UK Pink Book</w:t>
      </w:r>
      <w:r w:rsidRPr="00B71181">
        <w:rPr>
          <w:vertAlign w:val="superscript"/>
        </w:rPr>
        <w:footnoteReference w:id="4"/>
      </w:r>
      <w:r w:rsidRPr="00B71181">
        <w:rPr>
          <w:vertAlign w:val="superscript"/>
        </w:rPr>
        <w:t>.</w:t>
      </w:r>
    </w:p>
    <w:p w14:paraId="37B6C296" w14:textId="740F69EE" w:rsidR="003B4E84" w:rsidRPr="00F748F9" w:rsidRDefault="00D2377D" w:rsidP="007C7952">
      <w:pPr>
        <w:pStyle w:val="SGBodytext"/>
      </w:pPr>
      <w:r w:rsidRPr="00F748F9">
        <w:t xml:space="preserve">These provide the starting point for the estimate of </w:t>
      </w:r>
      <w:r w:rsidR="004012D1" w:rsidRPr="00F748F9">
        <w:t>Primary Income flow</w:t>
      </w:r>
      <w:r w:rsidR="00B578A0" w:rsidRPr="00F748F9">
        <w:t>s</w:t>
      </w:r>
      <w:r w:rsidR="004012D1" w:rsidRPr="00F748F9">
        <w:t xml:space="preserve"> </w:t>
      </w:r>
      <w:r w:rsidR="00B578A0" w:rsidRPr="00F748F9">
        <w:t>between Scotland and</w:t>
      </w:r>
      <w:r w:rsidR="004012D1" w:rsidRPr="00F748F9">
        <w:t xml:space="preserve"> ROW.</w:t>
      </w:r>
    </w:p>
    <w:p w14:paraId="22458109" w14:textId="313F107F" w:rsidR="004012D1" w:rsidRPr="00F748F9" w:rsidRDefault="00EB156F" w:rsidP="007C7952">
      <w:pPr>
        <w:pStyle w:val="SGBodytext"/>
      </w:pPr>
      <w:r w:rsidRPr="00F748F9">
        <w:t>There are four</w:t>
      </w:r>
      <w:r w:rsidR="004012D1" w:rsidRPr="00F748F9">
        <w:t xml:space="preserve"> main data sources used in estimating Scotland’s Primary Income Account:</w:t>
      </w:r>
    </w:p>
    <w:p w14:paraId="0AB8C014" w14:textId="16D68AB2" w:rsidR="004012D1" w:rsidRPr="00F748F9" w:rsidRDefault="004012D1" w:rsidP="007C7952">
      <w:pPr>
        <w:pStyle w:val="SGBodytext"/>
        <w:numPr>
          <w:ilvl w:val="0"/>
          <w:numId w:val="56"/>
        </w:numPr>
      </w:pPr>
      <w:r w:rsidRPr="00F748F9">
        <w:lastRenderedPageBreak/>
        <w:t>ONS Foreign Direct Investment (FDI) Survey</w:t>
      </w:r>
    </w:p>
    <w:p w14:paraId="11778DDD" w14:textId="77E7E8AF" w:rsidR="004012D1" w:rsidRPr="00F748F9" w:rsidRDefault="004012D1" w:rsidP="007C7952">
      <w:pPr>
        <w:pStyle w:val="SGBodytext"/>
        <w:numPr>
          <w:ilvl w:val="0"/>
          <w:numId w:val="56"/>
        </w:numPr>
      </w:pPr>
      <w:r w:rsidRPr="00F748F9">
        <w:t>Annual Survey of Hours and Earnings (ASHE)</w:t>
      </w:r>
    </w:p>
    <w:p w14:paraId="3F939193" w14:textId="313F849E" w:rsidR="004012D1" w:rsidRPr="00F748F9" w:rsidRDefault="004012D1" w:rsidP="007C7952">
      <w:pPr>
        <w:pStyle w:val="SGBodytext"/>
        <w:numPr>
          <w:ilvl w:val="0"/>
          <w:numId w:val="56"/>
        </w:numPr>
      </w:pPr>
      <w:r w:rsidRPr="00F748F9">
        <w:t xml:space="preserve">ONS Regional </w:t>
      </w:r>
      <w:proofErr w:type="spellStart"/>
      <w:r w:rsidRPr="00F748F9">
        <w:t>GVA</w:t>
      </w:r>
      <w:proofErr w:type="spellEnd"/>
      <w:r w:rsidRPr="00F748F9">
        <w:t>(B)</w:t>
      </w:r>
    </w:p>
    <w:p w14:paraId="1B44961D" w14:textId="6F80BA7F" w:rsidR="004012D1" w:rsidRPr="00F748F9" w:rsidRDefault="00ED6683" w:rsidP="007C7952">
      <w:pPr>
        <w:pStyle w:val="SGBodytext"/>
        <w:numPr>
          <w:ilvl w:val="0"/>
          <w:numId w:val="56"/>
        </w:numPr>
      </w:pPr>
      <w:r w:rsidRPr="00F748F9">
        <w:t xml:space="preserve">Scottish Government </w:t>
      </w:r>
      <w:r w:rsidR="00B94875" w:rsidRPr="00F748F9">
        <w:t>GDP/</w:t>
      </w:r>
      <w:r w:rsidR="004012D1" w:rsidRPr="00F748F9">
        <w:t>Q</w:t>
      </w:r>
      <w:r w:rsidRPr="00F748F9">
        <w:t xml:space="preserve">uarterly </w:t>
      </w:r>
      <w:r w:rsidR="004012D1" w:rsidRPr="00F748F9">
        <w:t>N</w:t>
      </w:r>
      <w:r w:rsidRPr="00F748F9">
        <w:t xml:space="preserve">ational Accounts </w:t>
      </w:r>
      <w:r w:rsidR="004012D1" w:rsidRPr="00F748F9">
        <w:t>S</w:t>
      </w:r>
      <w:r w:rsidRPr="00F748F9">
        <w:t>cotland</w:t>
      </w:r>
    </w:p>
    <w:p w14:paraId="21D61B1E" w14:textId="77777777" w:rsidR="006F4C02" w:rsidRPr="00F748F9" w:rsidRDefault="004012D1" w:rsidP="007C7952">
      <w:pPr>
        <w:pStyle w:val="SGBodytext"/>
      </w:pPr>
      <w:r w:rsidRPr="00F748F9">
        <w:t xml:space="preserve">Other estimates are derived by using </w:t>
      </w:r>
      <w:r w:rsidR="006F4C02" w:rsidRPr="00F748F9">
        <w:t xml:space="preserve">various </w:t>
      </w:r>
      <w:r w:rsidRPr="00F748F9">
        <w:t>apportionment methods</w:t>
      </w:r>
      <w:r w:rsidR="006F4C02" w:rsidRPr="00F748F9">
        <w:t>, based on a range of sources including:</w:t>
      </w:r>
    </w:p>
    <w:p w14:paraId="24326C75" w14:textId="77777777" w:rsidR="006F4C02" w:rsidRPr="00F748F9" w:rsidRDefault="006F4C02" w:rsidP="007C7952">
      <w:pPr>
        <w:pStyle w:val="SGBodytext"/>
        <w:numPr>
          <w:ilvl w:val="0"/>
          <w:numId w:val="57"/>
        </w:numPr>
      </w:pPr>
      <w:r w:rsidRPr="00F748F9">
        <w:t>ONS and NRS – mid-year population estimates</w:t>
      </w:r>
    </w:p>
    <w:p w14:paraId="2E814119" w14:textId="54046A24" w:rsidR="006F4C02" w:rsidRPr="00F748F9" w:rsidRDefault="006F4C02" w:rsidP="007C7952">
      <w:pPr>
        <w:pStyle w:val="SGBodytext"/>
        <w:numPr>
          <w:ilvl w:val="0"/>
          <w:numId w:val="57"/>
        </w:numPr>
      </w:pPr>
      <w:r w:rsidRPr="00F748F9">
        <w:t>Oil and Gas UK – Demographics Report</w:t>
      </w:r>
    </w:p>
    <w:p w14:paraId="2D4147E0" w14:textId="77777777" w:rsidR="006F4C02" w:rsidRPr="00F748F9" w:rsidRDefault="006F4C02" w:rsidP="007C7952">
      <w:pPr>
        <w:pStyle w:val="SGBodytext"/>
        <w:numPr>
          <w:ilvl w:val="0"/>
          <w:numId w:val="57"/>
        </w:numPr>
      </w:pPr>
      <w:r w:rsidRPr="00F748F9">
        <w:t>London Stock Exchange – market capitalisation data</w:t>
      </w:r>
    </w:p>
    <w:p w14:paraId="0DC9C70B" w14:textId="77777777" w:rsidR="006F4C02" w:rsidRPr="00F748F9" w:rsidRDefault="006F4C02" w:rsidP="007C7952">
      <w:pPr>
        <w:pStyle w:val="SGBodytext"/>
        <w:numPr>
          <w:ilvl w:val="0"/>
          <w:numId w:val="57"/>
        </w:numPr>
      </w:pPr>
      <w:r w:rsidRPr="00F748F9">
        <w:t>ONS – Share Ownership survey</w:t>
      </w:r>
    </w:p>
    <w:p w14:paraId="4CD73845" w14:textId="77777777" w:rsidR="006F4C02" w:rsidRPr="00F748F9" w:rsidRDefault="006F4C02" w:rsidP="007C7952">
      <w:pPr>
        <w:pStyle w:val="SGBodytext"/>
        <w:numPr>
          <w:ilvl w:val="0"/>
          <w:numId w:val="57"/>
        </w:numPr>
      </w:pPr>
      <w:r w:rsidRPr="00F748F9">
        <w:t>Debt Management Office – debt holdings</w:t>
      </w:r>
    </w:p>
    <w:p w14:paraId="673FB722" w14:textId="496CA496" w:rsidR="004012D1" w:rsidRPr="00F748F9" w:rsidRDefault="006F4C02" w:rsidP="007C7952">
      <w:pPr>
        <w:pStyle w:val="SGBodytext"/>
        <w:numPr>
          <w:ilvl w:val="0"/>
          <w:numId w:val="57"/>
        </w:numPr>
      </w:pPr>
      <w:r w:rsidRPr="00F748F9">
        <w:t>SG – EU subsidies</w:t>
      </w:r>
    </w:p>
    <w:p w14:paraId="0675A184" w14:textId="69E2FECD" w:rsidR="004012D1" w:rsidRPr="00F748F9" w:rsidRDefault="004012D1" w:rsidP="007C7952">
      <w:pPr>
        <w:pStyle w:val="SGBodytext"/>
      </w:pPr>
      <w:r w:rsidRPr="00F748F9">
        <w:t>Further details are set out in Annex</w:t>
      </w:r>
      <w:r w:rsidR="00EB156F" w:rsidRPr="00F748F9">
        <w:t>es A and</w:t>
      </w:r>
      <w:r w:rsidRPr="00F748F9">
        <w:t xml:space="preserve"> B.</w:t>
      </w:r>
    </w:p>
    <w:p w14:paraId="26AA32B3" w14:textId="3AA7866E" w:rsidR="006007F6" w:rsidRPr="00F748F9" w:rsidRDefault="006007F6" w:rsidP="008D39E0">
      <w:pPr>
        <w:pStyle w:val="Heading3"/>
        <w:tabs>
          <w:tab w:val="left" w:pos="360"/>
        </w:tabs>
      </w:pPr>
      <w:bookmarkStart w:id="18" w:name="_Toc138594593"/>
      <w:r w:rsidRPr="004F3A1A">
        <w:t xml:space="preserve">Revisions to </w:t>
      </w:r>
      <w:r w:rsidR="005D5B9F" w:rsidRPr="004F3A1A">
        <w:t xml:space="preserve">previously </w:t>
      </w:r>
      <w:r w:rsidRPr="004F3A1A">
        <w:t>publishe</w:t>
      </w:r>
      <w:r w:rsidR="005D5B9F" w:rsidRPr="004F3A1A">
        <w:t>d</w:t>
      </w:r>
      <w:r w:rsidRPr="004F3A1A">
        <w:t xml:space="preserve"> </w:t>
      </w:r>
      <w:r w:rsidR="005D5B9F" w:rsidRPr="004F3A1A">
        <w:t>figures</w:t>
      </w:r>
      <w:bookmarkEnd w:id="18"/>
    </w:p>
    <w:p w14:paraId="690D7532" w14:textId="03A46298" w:rsidR="006007F6" w:rsidRPr="00D35916" w:rsidRDefault="006007F6" w:rsidP="008D39E0">
      <w:pPr>
        <w:tabs>
          <w:tab w:val="left" w:pos="360"/>
        </w:tabs>
        <w:spacing w:before="100" w:beforeAutospacing="1" w:after="100" w:afterAutospacing="1" w:line="240" w:lineRule="auto"/>
        <w:ind w:left="142" w:right="113"/>
        <w:rPr>
          <w:sz w:val="24"/>
          <w:szCs w:val="24"/>
        </w:rPr>
      </w:pPr>
      <w:r w:rsidRPr="00F748F9">
        <w:rPr>
          <w:sz w:val="24"/>
          <w:szCs w:val="24"/>
        </w:rPr>
        <w:t xml:space="preserve">The results presented here include some revisions to figures that were published in the </w:t>
      </w:r>
      <w:r w:rsidR="00DE424C">
        <w:rPr>
          <w:sz w:val="24"/>
          <w:szCs w:val="24"/>
        </w:rPr>
        <w:t>2019 paper for years 1998 to 2017</w:t>
      </w:r>
      <w:r w:rsidRPr="00F748F9">
        <w:rPr>
          <w:sz w:val="24"/>
          <w:szCs w:val="24"/>
        </w:rPr>
        <w:t xml:space="preserve">. </w:t>
      </w:r>
      <w:r w:rsidR="0009652B" w:rsidRPr="00F748F9">
        <w:rPr>
          <w:sz w:val="24"/>
          <w:szCs w:val="24"/>
        </w:rPr>
        <w:t xml:space="preserve">These are presented </w:t>
      </w:r>
      <w:r w:rsidR="00DE424C">
        <w:rPr>
          <w:sz w:val="24"/>
          <w:szCs w:val="24"/>
        </w:rPr>
        <w:t>in table 5 in the supplementary tables. The revisions</w:t>
      </w:r>
      <w:r w:rsidRPr="00F748F9">
        <w:rPr>
          <w:sz w:val="24"/>
          <w:szCs w:val="24"/>
        </w:rPr>
        <w:t xml:space="preserve"> are the result of</w:t>
      </w:r>
      <w:r w:rsidR="00826914">
        <w:rPr>
          <w:sz w:val="24"/>
          <w:szCs w:val="24"/>
        </w:rPr>
        <w:t xml:space="preserve"> </w:t>
      </w:r>
      <w:r w:rsidRPr="007C7952">
        <w:rPr>
          <w:sz w:val="24"/>
          <w:szCs w:val="24"/>
        </w:rPr>
        <w:t>revisions made by ONS to the UK series on which the Scottish analysis is based</w:t>
      </w:r>
      <w:r w:rsidR="00826914" w:rsidRPr="007C7952">
        <w:rPr>
          <w:sz w:val="24"/>
          <w:szCs w:val="24"/>
        </w:rPr>
        <w:t xml:space="preserve"> c</w:t>
      </w:r>
      <w:r w:rsidRPr="007C7952">
        <w:rPr>
          <w:sz w:val="24"/>
          <w:szCs w:val="24"/>
        </w:rPr>
        <w:t>hanges mad</w:t>
      </w:r>
      <w:r w:rsidR="005D5B9F" w:rsidRPr="007C7952">
        <w:rPr>
          <w:sz w:val="24"/>
          <w:szCs w:val="24"/>
        </w:rPr>
        <w:t>e</w:t>
      </w:r>
      <w:r w:rsidRPr="007C7952">
        <w:rPr>
          <w:sz w:val="24"/>
          <w:szCs w:val="24"/>
        </w:rPr>
        <w:t xml:space="preserve"> by ONS or the Scottish Government to the data used to apportion UK figures to Scotland</w:t>
      </w:r>
      <w:r w:rsidR="00826914" w:rsidRPr="007C7952">
        <w:rPr>
          <w:sz w:val="24"/>
          <w:szCs w:val="24"/>
        </w:rPr>
        <w:t xml:space="preserve"> </w:t>
      </w:r>
      <w:r w:rsidRPr="007C7952">
        <w:rPr>
          <w:sz w:val="24"/>
          <w:szCs w:val="24"/>
        </w:rPr>
        <w:t xml:space="preserve">improvements to the method used to </w:t>
      </w:r>
      <w:r w:rsidRPr="00D35916">
        <w:rPr>
          <w:sz w:val="24"/>
          <w:szCs w:val="24"/>
        </w:rPr>
        <w:t xml:space="preserve">estimate the Scottish flows may also contribute to the changes </w:t>
      </w:r>
    </w:p>
    <w:p w14:paraId="659471D6" w14:textId="10596F33" w:rsidR="00CF6F31" w:rsidRPr="00F748F9" w:rsidRDefault="00D35916" w:rsidP="008D39E0">
      <w:pPr>
        <w:tabs>
          <w:tab w:val="left" w:pos="360"/>
        </w:tabs>
        <w:spacing w:before="100" w:beforeAutospacing="1" w:after="100" w:afterAutospacing="1" w:line="240" w:lineRule="auto"/>
        <w:ind w:left="142" w:right="113"/>
      </w:pPr>
      <w:r w:rsidRPr="00D35916">
        <w:rPr>
          <w:sz w:val="24"/>
        </w:rPr>
        <w:t xml:space="preserve">We have revised the methodology used to calculate </w:t>
      </w:r>
      <w:r w:rsidR="006D011D" w:rsidRPr="00D35916">
        <w:rPr>
          <w:sz w:val="24"/>
        </w:rPr>
        <w:t xml:space="preserve">Direct Investment </w:t>
      </w:r>
      <w:r w:rsidRPr="00D35916">
        <w:rPr>
          <w:sz w:val="24"/>
        </w:rPr>
        <w:t xml:space="preserve">for onshore and offshore Scotland for both </w:t>
      </w:r>
      <w:proofErr w:type="spellStart"/>
      <w:r w:rsidR="0051096F" w:rsidRPr="00D35916">
        <w:rPr>
          <w:sz w:val="24"/>
        </w:rPr>
        <w:t>RUK</w:t>
      </w:r>
      <w:proofErr w:type="spellEnd"/>
      <w:r w:rsidR="0051096F" w:rsidRPr="00D35916">
        <w:rPr>
          <w:sz w:val="24"/>
        </w:rPr>
        <w:t xml:space="preserve"> and ROW</w:t>
      </w:r>
      <w:r w:rsidR="006007F6" w:rsidRPr="00D35916">
        <w:rPr>
          <w:sz w:val="24"/>
        </w:rPr>
        <w:t xml:space="preserve">. </w:t>
      </w:r>
      <w:r w:rsidRPr="00D35916">
        <w:rPr>
          <w:sz w:val="24"/>
        </w:rPr>
        <w:t xml:space="preserve">Instead of taking a Scottish of UK Direct Investment flows based on data from the Foreign Direct Investment </w:t>
      </w:r>
      <w:r>
        <w:rPr>
          <w:sz w:val="24"/>
        </w:rPr>
        <w:t xml:space="preserve">(FDI) </w:t>
      </w:r>
      <w:r w:rsidRPr="00D35916">
        <w:rPr>
          <w:sz w:val="24"/>
        </w:rPr>
        <w:t xml:space="preserve">survey, we now use data directly from the FDI survey. </w:t>
      </w:r>
      <w:r w:rsidR="006D011D" w:rsidRPr="00D35916">
        <w:rPr>
          <w:sz w:val="24"/>
        </w:rPr>
        <w:t>Th</w:t>
      </w:r>
      <w:r w:rsidRPr="00D35916">
        <w:rPr>
          <w:sz w:val="24"/>
        </w:rPr>
        <w:t>ese</w:t>
      </w:r>
      <w:r w:rsidR="006D011D" w:rsidRPr="00D35916">
        <w:rPr>
          <w:sz w:val="24"/>
        </w:rPr>
        <w:t xml:space="preserve"> revision</w:t>
      </w:r>
      <w:r w:rsidRPr="00D35916">
        <w:rPr>
          <w:sz w:val="24"/>
        </w:rPr>
        <w:t>s are</w:t>
      </w:r>
      <w:r w:rsidR="006D011D" w:rsidRPr="00D35916">
        <w:rPr>
          <w:sz w:val="24"/>
        </w:rPr>
        <w:t xml:space="preserve"> is set out in</w:t>
      </w:r>
      <w:r w:rsidR="0051096F" w:rsidRPr="00D35916">
        <w:rPr>
          <w:sz w:val="24"/>
        </w:rPr>
        <w:t xml:space="preserve"> more detail in </w:t>
      </w:r>
      <w:hyperlink w:anchor="_Direct_Investment" w:history="1">
        <w:r w:rsidR="0051096F" w:rsidRPr="00D35916">
          <w:rPr>
            <w:rStyle w:val="Hyperlink"/>
            <w:sz w:val="24"/>
          </w:rPr>
          <w:t>section 3.2.</w:t>
        </w:r>
      </w:hyperlink>
      <w:r w:rsidR="0051096F">
        <w:rPr>
          <w:sz w:val="24"/>
        </w:rPr>
        <w:t xml:space="preserve"> </w:t>
      </w:r>
    </w:p>
    <w:p w14:paraId="6572F311" w14:textId="04F67C99" w:rsidR="000C14D7" w:rsidRPr="00F748F9" w:rsidRDefault="00B80F04" w:rsidP="008D39E0">
      <w:pPr>
        <w:pStyle w:val="Heading2"/>
        <w:tabs>
          <w:tab w:val="left" w:pos="360"/>
        </w:tabs>
      </w:pPr>
      <w:bookmarkStart w:id="19" w:name="_Toc138594606"/>
      <w:r w:rsidRPr="00F748F9">
        <w:t>Detailed Methodology</w:t>
      </w:r>
      <w:bookmarkEnd w:id="19"/>
    </w:p>
    <w:p w14:paraId="7B5C26AD" w14:textId="7A61D6B7" w:rsidR="00247FC5" w:rsidRPr="00F748F9" w:rsidRDefault="00E85DF5" w:rsidP="008D39E0">
      <w:pPr>
        <w:tabs>
          <w:tab w:val="clear" w:pos="720"/>
          <w:tab w:val="left" w:pos="0"/>
          <w:tab w:val="left" w:pos="360"/>
        </w:tabs>
        <w:spacing w:before="100" w:beforeAutospacing="1" w:after="100" w:afterAutospacing="1" w:line="240" w:lineRule="auto"/>
        <w:ind w:left="142" w:right="113"/>
        <w:rPr>
          <w:rFonts w:cs="Arial"/>
          <w:sz w:val="24"/>
          <w:szCs w:val="24"/>
        </w:rPr>
      </w:pPr>
      <w:bookmarkStart w:id="20" w:name="_Toc506898973"/>
      <w:bookmarkStart w:id="21" w:name="_Toc507015569"/>
      <w:r>
        <w:rPr>
          <w:rFonts w:cs="Arial"/>
          <w:sz w:val="24"/>
          <w:szCs w:val="24"/>
        </w:rPr>
        <w:t>Most of the</w:t>
      </w:r>
      <w:r w:rsidR="00AD03F4" w:rsidRPr="00F748F9">
        <w:rPr>
          <w:rFonts w:cs="Arial"/>
          <w:sz w:val="24"/>
          <w:szCs w:val="24"/>
        </w:rPr>
        <w:t xml:space="preserve"> methods used are</w:t>
      </w:r>
      <w:r w:rsidR="00B51B74" w:rsidRPr="00F748F9">
        <w:rPr>
          <w:rFonts w:cs="Arial"/>
          <w:sz w:val="24"/>
          <w:szCs w:val="24"/>
        </w:rPr>
        <w:t xml:space="preserve"> unchanged from those used in the previous publication in </w:t>
      </w:r>
      <w:r w:rsidR="00D73BDE" w:rsidRPr="00F748F9">
        <w:rPr>
          <w:rFonts w:cs="Arial"/>
          <w:sz w:val="24"/>
          <w:szCs w:val="24"/>
        </w:rPr>
        <w:t>2018</w:t>
      </w:r>
      <w:r w:rsidR="00B51B74" w:rsidRPr="00F748F9">
        <w:rPr>
          <w:rFonts w:cs="Arial"/>
          <w:sz w:val="24"/>
          <w:szCs w:val="24"/>
        </w:rPr>
        <w:t xml:space="preserve"> and are</w:t>
      </w:r>
      <w:r w:rsidR="00AD03F4" w:rsidRPr="00F748F9">
        <w:rPr>
          <w:rFonts w:cs="Arial"/>
          <w:sz w:val="24"/>
          <w:szCs w:val="24"/>
        </w:rPr>
        <w:t xml:space="preserve"> similar to tho</w:t>
      </w:r>
      <w:r w:rsidR="00A06073" w:rsidRPr="00F748F9">
        <w:rPr>
          <w:rFonts w:cs="Arial"/>
          <w:sz w:val="24"/>
          <w:szCs w:val="24"/>
        </w:rPr>
        <w:t xml:space="preserve">se developed in the 2013 work. </w:t>
      </w:r>
    </w:p>
    <w:p w14:paraId="20A3C10F" w14:textId="7243490C" w:rsidR="00AD03F4" w:rsidRPr="00F748F9" w:rsidRDefault="00AD03F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 xml:space="preserve">The general approach is to calculate an appropriate Scottish share of the income flows between the UK and the rest of the world as published in the UK Pink Book and the Quarterly UK Economic Accounts. The shares are usually based on population or Gross Value Added for a given industry. For direct investment detailed company level data from the Office for </w:t>
      </w:r>
      <w:r w:rsidR="00556AFD" w:rsidRPr="00F748F9">
        <w:rPr>
          <w:rFonts w:cs="Arial"/>
          <w:sz w:val="24"/>
          <w:szCs w:val="24"/>
        </w:rPr>
        <w:t xml:space="preserve">National </w:t>
      </w:r>
      <w:r w:rsidRPr="00F748F9">
        <w:rPr>
          <w:rFonts w:cs="Arial"/>
          <w:sz w:val="24"/>
          <w:szCs w:val="24"/>
        </w:rPr>
        <w:t>Statistics</w:t>
      </w:r>
      <w:r w:rsidR="00B51B74" w:rsidRPr="00F748F9">
        <w:rPr>
          <w:rFonts w:cs="Arial"/>
          <w:sz w:val="24"/>
          <w:szCs w:val="24"/>
        </w:rPr>
        <w:t>’</w:t>
      </w:r>
      <w:r w:rsidRPr="00F748F9">
        <w:rPr>
          <w:rFonts w:cs="Arial"/>
          <w:sz w:val="24"/>
          <w:szCs w:val="24"/>
        </w:rPr>
        <w:t xml:space="preserve"> (ONS) </w:t>
      </w:r>
      <w:r w:rsidR="00B51B74" w:rsidRPr="00F748F9">
        <w:rPr>
          <w:rFonts w:cs="Arial"/>
          <w:sz w:val="24"/>
          <w:szCs w:val="24"/>
        </w:rPr>
        <w:t xml:space="preserve">Foreign Direct Investment (FDI) survey </w:t>
      </w:r>
      <w:r w:rsidRPr="00F748F9">
        <w:rPr>
          <w:rFonts w:cs="Arial"/>
          <w:sz w:val="24"/>
          <w:szCs w:val="24"/>
        </w:rPr>
        <w:t>has been used with a range of me</w:t>
      </w:r>
      <w:r w:rsidR="00B51B74" w:rsidRPr="00F748F9">
        <w:rPr>
          <w:rFonts w:cs="Arial"/>
          <w:sz w:val="24"/>
          <w:szCs w:val="24"/>
        </w:rPr>
        <w:t>thods</w:t>
      </w:r>
      <w:r w:rsidRPr="00F748F9">
        <w:rPr>
          <w:rFonts w:cs="Arial"/>
          <w:sz w:val="24"/>
          <w:szCs w:val="24"/>
        </w:rPr>
        <w:t xml:space="preserve"> used to determine Scottish data from this survey.</w:t>
      </w:r>
    </w:p>
    <w:p w14:paraId="55AB9129" w14:textId="432A9A72" w:rsidR="004A00E2" w:rsidRPr="00F748F9" w:rsidRDefault="00A7340F"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sz w:val="24"/>
          <w:szCs w:val="24"/>
        </w:rPr>
        <w:t xml:space="preserve">The model used to produce the results in this paper is based on quarterly data. </w:t>
      </w:r>
      <w:r w:rsidR="00D10850" w:rsidRPr="00F748F9">
        <w:rPr>
          <w:sz w:val="24"/>
        </w:rPr>
        <w:t>The quarterly figures have been calculated by</w:t>
      </w:r>
      <w:r w:rsidR="004A00E2" w:rsidRPr="00F748F9">
        <w:rPr>
          <w:sz w:val="24"/>
        </w:rPr>
        <w:t xml:space="preserve"> combin</w:t>
      </w:r>
      <w:r w:rsidR="00D10850" w:rsidRPr="00F748F9">
        <w:rPr>
          <w:sz w:val="24"/>
        </w:rPr>
        <w:t>ing</w:t>
      </w:r>
      <w:r w:rsidR="004A00E2" w:rsidRPr="00F748F9">
        <w:rPr>
          <w:sz w:val="24"/>
        </w:rPr>
        <w:t xml:space="preserve"> annual figures from the Blue Book and Pink Book publications with quarterly figures from the UK Economic Accounts. Some figures are only available annually and so these are used to apportion the more sparse quarterly information to the more detailed breakdowns required by the quarterly </w:t>
      </w:r>
      <w:proofErr w:type="spellStart"/>
      <w:r w:rsidR="004A00E2" w:rsidRPr="00F748F9">
        <w:rPr>
          <w:sz w:val="24"/>
        </w:rPr>
        <w:t>GNI</w:t>
      </w:r>
      <w:proofErr w:type="spellEnd"/>
      <w:r w:rsidR="004A00E2" w:rsidRPr="00F748F9">
        <w:rPr>
          <w:sz w:val="24"/>
        </w:rPr>
        <w:t xml:space="preserve"> model.</w:t>
      </w:r>
    </w:p>
    <w:p w14:paraId="2FCD03EA" w14:textId="51916A6B" w:rsidR="00AD03F4" w:rsidRPr="00F748F9" w:rsidRDefault="00545D02"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T</w:t>
      </w:r>
      <w:r w:rsidR="00AD03F4" w:rsidRPr="00F748F9">
        <w:rPr>
          <w:rFonts w:cs="Arial"/>
          <w:sz w:val="24"/>
          <w:szCs w:val="24"/>
        </w:rPr>
        <w:t>here are 2</w:t>
      </w:r>
      <w:r w:rsidRPr="00F748F9">
        <w:rPr>
          <w:rFonts w:cs="Arial"/>
          <w:sz w:val="24"/>
          <w:szCs w:val="24"/>
        </w:rPr>
        <w:t xml:space="preserve"> additional</w:t>
      </w:r>
      <w:r w:rsidR="00AD03F4" w:rsidRPr="00F748F9">
        <w:rPr>
          <w:rFonts w:cs="Arial"/>
          <w:sz w:val="24"/>
          <w:szCs w:val="24"/>
        </w:rPr>
        <w:t xml:space="preserve"> complexities that need to be addressed. </w:t>
      </w:r>
    </w:p>
    <w:p w14:paraId="4FCB6E59" w14:textId="24BF3FE5" w:rsidR="00AD03F4" w:rsidRPr="00F748F9" w:rsidRDefault="00AD03F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lastRenderedPageBreak/>
        <w:t>Firstly, flows between Scotland and the rest of the UK need to be taken into account. Data on interactions between Scotland and the rest of the UK are extremely limited. Surveys of UK companies by the ONS include Scottish companies but (i) these companies are not always easy to identify, (ii) the coverage in Scotland may be smaller than might be desired and (iii) the surveys tend to cover solely interactions between UK residents and foreign residents and don’t include interactions between Scottish residents and residents in the rest of the UK.</w:t>
      </w:r>
    </w:p>
    <w:p w14:paraId="42E21269" w14:textId="4F0459A7" w:rsidR="00AD03F4" w:rsidRPr="00F748F9" w:rsidRDefault="00AD03F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Secondly</w:t>
      </w:r>
      <w:r w:rsidR="00432485" w:rsidRPr="00F748F9">
        <w:rPr>
          <w:rFonts w:cs="Arial"/>
          <w:sz w:val="24"/>
          <w:szCs w:val="24"/>
        </w:rPr>
        <w:t>,</w:t>
      </w:r>
      <w:r w:rsidRPr="00F748F9">
        <w:rPr>
          <w:rFonts w:cs="Arial"/>
          <w:sz w:val="24"/>
          <w:szCs w:val="24"/>
        </w:rPr>
        <w:t xml:space="preserve"> a large share of UK Extra Regio (offshore and overseas) activity takes place in Scottish waters. </w:t>
      </w:r>
      <w:r w:rsidR="005773D4" w:rsidRPr="00F748F9">
        <w:rPr>
          <w:rFonts w:cs="Arial"/>
          <w:sz w:val="24"/>
          <w:szCs w:val="24"/>
        </w:rPr>
        <w:t xml:space="preserve">This is complicated because data associated with the Scotland’s offshore economy </w:t>
      </w:r>
      <w:r w:rsidR="00432485" w:rsidRPr="00F748F9">
        <w:rPr>
          <w:rFonts w:cs="Arial"/>
          <w:sz w:val="24"/>
          <w:szCs w:val="24"/>
        </w:rPr>
        <w:t xml:space="preserve">are </w:t>
      </w:r>
      <w:r w:rsidR="005773D4" w:rsidRPr="00F748F9">
        <w:rPr>
          <w:rFonts w:cs="Arial"/>
          <w:sz w:val="24"/>
          <w:szCs w:val="24"/>
        </w:rPr>
        <w:t>limited and can be difficult to estimate.</w:t>
      </w:r>
    </w:p>
    <w:p w14:paraId="0BC794DC" w14:textId="74F03F18" w:rsidR="00AD03F4" w:rsidRPr="00DB7283" w:rsidRDefault="00AD03F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Taken together, these challenges mean that it is inevitable that the estimates in the income account will be subject to uncertainty. It also means that a range of different data sources and methodologies have been used.</w:t>
      </w:r>
    </w:p>
    <w:p w14:paraId="02A676E5" w14:textId="344A74F1" w:rsidR="00AD03F4" w:rsidRPr="00F748F9" w:rsidRDefault="00CE4165"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T</w:t>
      </w:r>
      <w:r w:rsidR="00AD03F4" w:rsidRPr="00F748F9">
        <w:rPr>
          <w:rFonts w:cs="Arial"/>
          <w:sz w:val="24"/>
          <w:szCs w:val="24"/>
        </w:rPr>
        <w:t xml:space="preserve">he </w:t>
      </w:r>
      <w:r w:rsidR="00432485" w:rsidRPr="00F748F9">
        <w:rPr>
          <w:rFonts w:cs="Arial"/>
          <w:sz w:val="24"/>
          <w:szCs w:val="24"/>
        </w:rPr>
        <w:t xml:space="preserve">Primary Income Account </w:t>
      </w:r>
      <w:r w:rsidR="00AD03F4" w:rsidRPr="00F748F9">
        <w:rPr>
          <w:rFonts w:cs="Arial"/>
          <w:sz w:val="24"/>
          <w:szCs w:val="24"/>
        </w:rPr>
        <w:t>consists of the</w:t>
      </w:r>
      <w:r w:rsidR="005773D4" w:rsidRPr="00F748F9">
        <w:rPr>
          <w:rFonts w:cs="Arial"/>
          <w:sz w:val="24"/>
          <w:szCs w:val="24"/>
        </w:rPr>
        <w:t xml:space="preserve"> </w:t>
      </w:r>
      <w:r w:rsidR="00AD03F4" w:rsidRPr="00F748F9">
        <w:rPr>
          <w:rFonts w:cs="Arial"/>
          <w:sz w:val="24"/>
          <w:szCs w:val="24"/>
        </w:rPr>
        <w:t>main components outlined below.</w:t>
      </w:r>
    </w:p>
    <w:p w14:paraId="795BAF06" w14:textId="77777777" w:rsidR="00AD03F4" w:rsidRPr="00F748F9" w:rsidRDefault="00AD03F4" w:rsidP="008D39E0">
      <w:pPr>
        <w:pStyle w:val="Heading3"/>
        <w:numPr>
          <w:ilvl w:val="1"/>
          <w:numId w:val="29"/>
        </w:numPr>
        <w:tabs>
          <w:tab w:val="left" w:pos="360"/>
        </w:tabs>
      </w:pPr>
      <w:r w:rsidRPr="009F7BBD">
        <w:t>Compensation</w:t>
      </w:r>
      <w:r w:rsidRPr="00F748F9">
        <w:t xml:space="preserve"> of Employees (</w:t>
      </w:r>
      <w:proofErr w:type="spellStart"/>
      <w:r w:rsidRPr="00F748F9">
        <w:t>CoE</w:t>
      </w:r>
      <w:proofErr w:type="spellEnd"/>
      <w:r w:rsidRPr="00F748F9">
        <w:t>)</w:t>
      </w:r>
    </w:p>
    <w:p w14:paraId="0B0DE43F" w14:textId="4EB0DE08" w:rsidR="00AD03F4" w:rsidRPr="00F748F9" w:rsidRDefault="00AD03F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This includes wages and other benefits received by workers who cross national borders to reach their place of normal work</w:t>
      </w:r>
      <w:r w:rsidR="00432485" w:rsidRPr="00F748F9">
        <w:rPr>
          <w:rFonts w:cs="Arial"/>
          <w:sz w:val="24"/>
          <w:szCs w:val="24"/>
        </w:rPr>
        <w:t>,</w:t>
      </w:r>
      <w:r w:rsidRPr="00F748F9">
        <w:rPr>
          <w:rFonts w:cs="Arial"/>
          <w:sz w:val="24"/>
          <w:szCs w:val="24"/>
        </w:rPr>
        <w:t xml:space="preserve"> or to seasonal or short-term workers who are resident in the country for less than a year.</w:t>
      </w:r>
    </w:p>
    <w:p w14:paraId="23BC6CEA" w14:textId="426B3E7F" w:rsidR="00264C42" w:rsidRPr="00F748F9" w:rsidRDefault="00276FB0" w:rsidP="008D39E0">
      <w:pPr>
        <w:tabs>
          <w:tab w:val="clear" w:pos="720"/>
          <w:tab w:val="left" w:pos="0"/>
          <w:tab w:val="left" w:pos="360"/>
        </w:tabs>
        <w:spacing w:before="100" w:beforeAutospacing="1" w:after="100" w:afterAutospacing="1" w:line="240" w:lineRule="auto"/>
        <w:ind w:left="142" w:right="113"/>
        <w:rPr>
          <w:rFonts w:cs="Arial"/>
          <w:sz w:val="24"/>
          <w:szCs w:val="24"/>
        </w:rPr>
      </w:pPr>
      <w:r>
        <w:rPr>
          <w:rFonts w:cs="Arial"/>
          <w:sz w:val="24"/>
          <w:szCs w:val="24"/>
        </w:rPr>
        <w:t xml:space="preserve">The overall net flows of COE between Scotland </w:t>
      </w:r>
      <w:proofErr w:type="spellStart"/>
      <w:r>
        <w:rPr>
          <w:rFonts w:cs="Arial"/>
          <w:sz w:val="24"/>
          <w:szCs w:val="24"/>
        </w:rPr>
        <w:t>RUK</w:t>
      </w:r>
      <w:proofErr w:type="spellEnd"/>
      <w:r>
        <w:rPr>
          <w:rFonts w:cs="Arial"/>
          <w:sz w:val="24"/>
          <w:szCs w:val="24"/>
        </w:rPr>
        <w:t xml:space="preserve"> are consistent with GDO COE and Gross Disposable Household Income (</w:t>
      </w:r>
      <w:proofErr w:type="spellStart"/>
      <w:r>
        <w:rPr>
          <w:rFonts w:cs="Arial"/>
          <w:sz w:val="24"/>
          <w:szCs w:val="24"/>
        </w:rPr>
        <w:t>GDHI</w:t>
      </w:r>
      <w:proofErr w:type="spellEnd"/>
      <w:r>
        <w:rPr>
          <w:rFonts w:cs="Arial"/>
          <w:sz w:val="24"/>
          <w:szCs w:val="24"/>
        </w:rPr>
        <w:t xml:space="preserve">) COE figures in Scotland’s Quarterly National Accounts. </w:t>
      </w:r>
    </w:p>
    <w:p w14:paraId="037F0F40" w14:textId="77777777" w:rsidR="009F7BBD" w:rsidRPr="007C7952" w:rsidRDefault="00A06073" w:rsidP="008D39E0">
      <w:pPr>
        <w:pStyle w:val="ListParagraph"/>
        <w:tabs>
          <w:tab w:val="left" w:pos="360"/>
        </w:tabs>
        <w:rPr>
          <w:sz w:val="24"/>
          <w:szCs w:val="24"/>
          <w:u w:val="single"/>
        </w:rPr>
      </w:pPr>
      <w:r w:rsidRPr="007C7952">
        <w:rPr>
          <w:sz w:val="24"/>
          <w:szCs w:val="24"/>
          <w:u w:val="single"/>
        </w:rPr>
        <w:t xml:space="preserve">Estimating flows between onshore Scotland and </w:t>
      </w:r>
      <w:r w:rsidR="009F7BBD" w:rsidRPr="007C7952">
        <w:rPr>
          <w:sz w:val="24"/>
          <w:szCs w:val="24"/>
          <w:u w:val="single"/>
        </w:rPr>
        <w:t xml:space="preserve">ROW: </w:t>
      </w:r>
    </w:p>
    <w:p w14:paraId="28017879" w14:textId="25B7DE6B" w:rsidR="0068553F" w:rsidRPr="00F748F9" w:rsidRDefault="002B5772"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 xml:space="preserve">Scottish onshore </w:t>
      </w:r>
      <w:proofErr w:type="spellStart"/>
      <w:r w:rsidR="00616CBF" w:rsidRPr="00F748F9">
        <w:rPr>
          <w:rFonts w:cs="Arial"/>
          <w:sz w:val="24"/>
          <w:szCs w:val="24"/>
        </w:rPr>
        <w:t>CoE</w:t>
      </w:r>
      <w:proofErr w:type="spellEnd"/>
      <w:r w:rsidRPr="00F748F9">
        <w:rPr>
          <w:rFonts w:cs="Arial"/>
          <w:sz w:val="24"/>
          <w:szCs w:val="24"/>
        </w:rPr>
        <w:t xml:space="preserve"> as </w:t>
      </w:r>
      <w:r w:rsidR="00E73F6E" w:rsidRPr="00F748F9">
        <w:rPr>
          <w:rFonts w:cs="Arial"/>
          <w:sz w:val="24"/>
          <w:szCs w:val="24"/>
        </w:rPr>
        <w:t xml:space="preserve">a </w:t>
      </w:r>
      <w:r w:rsidRPr="00F748F9">
        <w:rPr>
          <w:rFonts w:cs="Arial"/>
          <w:sz w:val="24"/>
          <w:szCs w:val="24"/>
        </w:rPr>
        <w:t xml:space="preserve">proportion of UK onshore </w:t>
      </w:r>
      <w:proofErr w:type="spellStart"/>
      <w:r w:rsidR="00616CBF" w:rsidRPr="00F748F9">
        <w:rPr>
          <w:rFonts w:cs="Arial"/>
          <w:sz w:val="24"/>
          <w:szCs w:val="24"/>
        </w:rPr>
        <w:t>CoE</w:t>
      </w:r>
      <w:proofErr w:type="spellEnd"/>
      <w:r w:rsidRPr="00F748F9">
        <w:rPr>
          <w:rFonts w:cs="Arial"/>
          <w:sz w:val="24"/>
          <w:szCs w:val="24"/>
        </w:rPr>
        <w:t xml:space="preserve"> is calculated. This is then multiplied by onshore </w:t>
      </w:r>
      <w:r w:rsidR="00AF1A5D" w:rsidRPr="00F748F9">
        <w:rPr>
          <w:rFonts w:cs="Arial"/>
          <w:sz w:val="24"/>
          <w:szCs w:val="24"/>
        </w:rPr>
        <w:t xml:space="preserve">UK </w:t>
      </w:r>
      <w:proofErr w:type="spellStart"/>
      <w:r w:rsidRPr="00F748F9">
        <w:rPr>
          <w:rFonts w:cs="Arial"/>
          <w:sz w:val="24"/>
          <w:szCs w:val="24"/>
        </w:rPr>
        <w:t>CoE</w:t>
      </w:r>
      <w:proofErr w:type="spellEnd"/>
      <w:r w:rsidR="00C718CB">
        <w:rPr>
          <w:rFonts w:cs="Arial"/>
          <w:sz w:val="24"/>
          <w:szCs w:val="24"/>
        </w:rPr>
        <w:t>,</w:t>
      </w:r>
      <w:r w:rsidRPr="00F748F9">
        <w:rPr>
          <w:rFonts w:cs="Arial"/>
          <w:sz w:val="24"/>
          <w:szCs w:val="24"/>
        </w:rPr>
        <w:t xml:space="preserve"> </w:t>
      </w:r>
      <w:r w:rsidR="00C718CB">
        <w:rPr>
          <w:rFonts w:cs="Arial"/>
          <w:sz w:val="24"/>
          <w:szCs w:val="24"/>
        </w:rPr>
        <w:t xml:space="preserve">for both credit and debits flows, </w:t>
      </w:r>
      <w:r w:rsidRPr="00F748F9">
        <w:rPr>
          <w:rFonts w:cs="Arial"/>
          <w:sz w:val="24"/>
          <w:szCs w:val="24"/>
        </w:rPr>
        <w:t>based on the UK Economic Accounts.</w:t>
      </w:r>
    </w:p>
    <w:p w14:paraId="7FEEFB9B" w14:textId="3A1044CF" w:rsidR="00A06073" w:rsidRPr="007C7952" w:rsidRDefault="00A06073" w:rsidP="008D39E0">
      <w:pPr>
        <w:pStyle w:val="ListParagraph"/>
        <w:tabs>
          <w:tab w:val="left" w:pos="360"/>
        </w:tabs>
        <w:rPr>
          <w:sz w:val="24"/>
          <w:szCs w:val="24"/>
          <w:u w:val="single"/>
        </w:rPr>
      </w:pPr>
      <w:r w:rsidRPr="007C7952">
        <w:rPr>
          <w:sz w:val="24"/>
          <w:szCs w:val="24"/>
          <w:u w:val="single"/>
        </w:rPr>
        <w:t xml:space="preserve">Estimating flows between offshore Scotland and </w:t>
      </w:r>
      <w:r w:rsidR="00585BCD" w:rsidRPr="007C7952">
        <w:rPr>
          <w:sz w:val="24"/>
          <w:szCs w:val="24"/>
          <w:u w:val="single"/>
        </w:rPr>
        <w:t>ROW</w:t>
      </w:r>
    </w:p>
    <w:p w14:paraId="7EB9A151" w14:textId="331B028E" w:rsidR="0068553F" w:rsidRPr="00F748F9" w:rsidRDefault="0068553F"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The measure of extra-</w:t>
      </w:r>
      <w:proofErr w:type="spellStart"/>
      <w:r w:rsidRPr="00F748F9">
        <w:rPr>
          <w:rFonts w:cs="Arial"/>
          <w:sz w:val="24"/>
          <w:szCs w:val="24"/>
        </w:rPr>
        <w:t>regio</w:t>
      </w:r>
      <w:proofErr w:type="spellEnd"/>
      <w:r w:rsidRPr="00F748F9">
        <w:rPr>
          <w:rFonts w:cs="Arial"/>
          <w:sz w:val="24"/>
          <w:szCs w:val="24"/>
        </w:rPr>
        <w:t xml:space="preserve"> </w:t>
      </w:r>
      <w:proofErr w:type="spellStart"/>
      <w:r w:rsidRPr="00F748F9">
        <w:rPr>
          <w:rFonts w:cs="Arial"/>
          <w:sz w:val="24"/>
          <w:szCs w:val="24"/>
        </w:rPr>
        <w:t>C</w:t>
      </w:r>
      <w:r w:rsidR="00AD404A">
        <w:rPr>
          <w:rFonts w:cs="Arial"/>
          <w:sz w:val="24"/>
          <w:szCs w:val="24"/>
        </w:rPr>
        <w:t>o</w:t>
      </w:r>
      <w:r w:rsidRPr="00F748F9">
        <w:rPr>
          <w:rFonts w:cs="Arial"/>
          <w:sz w:val="24"/>
          <w:szCs w:val="24"/>
        </w:rPr>
        <w:t>E</w:t>
      </w:r>
      <w:proofErr w:type="spellEnd"/>
      <w:r w:rsidRPr="00F748F9">
        <w:rPr>
          <w:rFonts w:cs="Arial"/>
          <w:sz w:val="24"/>
          <w:szCs w:val="24"/>
        </w:rPr>
        <w:t xml:space="preserve"> from the mining and quarrying industry is taken from the regional accounts. </w:t>
      </w:r>
      <w:r w:rsidR="003F52B2" w:rsidRPr="00F748F9">
        <w:rPr>
          <w:rFonts w:cs="Arial"/>
          <w:sz w:val="24"/>
          <w:szCs w:val="24"/>
        </w:rPr>
        <w:t>A Scottish geographical share is applied</w:t>
      </w:r>
      <w:r w:rsidRPr="00F748F9">
        <w:rPr>
          <w:rFonts w:cs="Arial"/>
          <w:sz w:val="24"/>
          <w:szCs w:val="24"/>
        </w:rPr>
        <w:t xml:space="preserve"> to estimate the Scottish element. This in turn is multiplied by an estimate of the proportion of workers in the UK continental shelf who are non-UK nationals taken from the UK</w:t>
      </w:r>
      <w:r w:rsidR="00C25ED7" w:rsidRPr="00F748F9">
        <w:rPr>
          <w:rFonts w:cs="Arial"/>
          <w:sz w:val="24"/>
          <w:szCs w:val="24"/>
        </w:rPr>
        <w:t xml:space="preserve"> </w:t>
      </w:r>
      <w:r w:rsidRPr="00F748F9">
        <w:rPr>
          <w:rFonts w:cs="Arial"/>
          <w:sz w:val="24"/>
          <w:szCs w:val="24"/>
        </w:rPr>
        <w:t>C</w:t>
      </w:r>
      <w:r w:rsidR="00C25ED7" w:rsidRPr="00F748F9">
        <w:rPr>
          <w:rFonts w:cs="Arial"/>
          <w:sz w:val="24"/>
          <w:szCs w:val="24"/>
        </w:rPr>
        <w:t xml:space="preserve">ontinental </w:t>
      </w:r>
      <w:r w:rsidRPr="00F748F9">
        <w:rPr>
          <w:rFonts w:cs="Arial"/>
          <w:sz w:val="24"/>
          <w:szCs w:val="24"/>
        </w:rPr>
        <w:t>S</w:t>
      </w:r>
      <w:r w:rsidR="00C25ED7" w:rsidRPr="00F748F9">
        <w:rPr>
          <w:rFonts w:cs="Arial"/>
          <w:sz w:val="24"/>
          <w:szCs w:val="24"/>
        </w:rPr>
        <w:t>helf</w:t>
      </w:r>
      <w:r w:rsidRPr="00F748F9">
        <w:rPr>
          <w:rFonts w:cs="Arial"/>
          <w:sz w:val="24"/>
          <w:szCs w:val="24"/>
        </w:rPr>
        <w:t xml:space="preserve"> offshore Demographics Report published by Oil &amp; Gas UK.</w:t>
      </w:r>
    </w:p>
    <w:p w14:paraId="16FA0175" w14:textId="593CDFE6" w:rsidR="00A06073" w:rsidRPr="007C7952" w:rsidRDefault="00A06073" w:rsidP="008D39E0">
      <w:pPr>
        <w:pStyle w:val="ListParagraph"/>
        <w:tabs>
          <w:tab w:val="left" w:pos="360"/>
        </w:tabs>
        <w:rPr>
          <w:sz w:val="24"/>
          <w:szCs w:val="24"/>
          <w:u w:val="single"/>
        </w:rPr>
      </w:pPr>
      <w:r w:rsidRPr="007C7952">
        <w:rPr>
          <w:sz w:val="24"/>
          <w:szCs w:val="24"/>
          <w:u w:val="single"/>
        </w:rPr>
        <w:t xml:space="preserve">Estimating flows between onshore Scotland and </w:t>
      </w:r>
      <w:proofErr w:type="spellStart"/>
      <w:r w:rsidR="00AD404A" w:rsidRPr="007C7952">
        <w:rPr>
          <w:sz w:val="24"/>
          <w:szCs w:val="24"/>
          <w:u w:val="single"/>
        </w:rPr>
        <w:t>RUK</w:t>
      </w:r>
      <w:proofErr w:type="spellEnd"/>
    </w:p>
    <w:p w14:paraId="6C27CB92" w14:textId="2DAD82ED" w:rsidR="006F2E2B" w:rsidRPr="00F748F9" w:rsidRDefault="000536A0" w:rsidP="008D39E0">
      <w:pPr>
        <w:tabs>
          <w:tab w:val="clear" w:pos="720"/>
          <w:tab w:val="left" w:pos="0"/>
          <w:tab w:val="left" w:pos="360"/>
        </w:tabs>
        <w:spacing w:before="100" w:beforeAutospacing="1" w:after="100" w:afterAutospacing="1" w:line="240" w:lineRule="auto"/>
        <w:ind w:left="142" w:right="113"/>
        <w:rPr>
          <w:rFonts w:cs="Arial"/>
          <w:sz w:val="24"/>
          <w:szCs w:val="24"/>
        </w:rPr>
      </w:pPr>
      <w:proofErr w:type="spellStart"/>
      <w:r w:rsidRPr="00C843F7">
        <w:rPr>
          <w:rFonts w:cs="Arial"/>
          <w:i/>
          <w:iCs/>
          <w:sz w:val="24"/>
          <w:szCs w:val="24"/>
        </w:rPr>
        <w:t>RUK</w:t>
      </w:r>
      <w:proofErr w:type="spellEnd"/>
      <w:r w:rsidRPr="00C843F7">
        <w:rPr>
          <w:rFonts w:cs="Arial"/>
          <w:i/>
          <w:iCs/>
          <w:sz w:val="24"/>
          <w:szCs w:val="24"/>
        </w:rPr>
        <w:t xml:space="preserve"> to Scotland</w:t>
      </w:r>
      <w:r w:rsidR="00FD11DD" w:rsidRPr="00C843F7">
        <w:rPr>
          <w:rFonts w:cs="Arial"/>
          <w:i/>
          <w:iCs/>
          <w:sz w:val="24"/>
          <w:szCs w:val="24"/>
        </w:rPr>
        <w:t xml:space="preserve"> (Credits)</w:t>
      </w:r>
      <w:r w:rsidRPr="00C843F7">
        <w:rPr>
          <w:rFonts w:cs="Arial"/>
          <w:i/>
          <w:iCs/>
          <w:sz w:val="24"/>
          <w:szCs w:val="24"/>
        </w:rPr>
        <w:t>:</w:t>
      </w:r>
      <w:r>
        <w:rPr>
          <w:rFonts w:cs="Arial"/>
          <w:sz w:val="24"/>
          <w:szCs w:val="24"/>
        </w:rPr>
        <w:t xml:space="preserve"> </w:t>
      </w:r>
      <w:r w:rsidR="00563A1B" w:rsidRPr="00F748F9">
        <w:rPr>
          <w:rFonts w:cs="Arial"/>
          <w:sz w:val="24"/>
          <w:szCs w:val="24"/>
        </w:rPr>
        <w:t xml:space="preserve"> </w:t>
      </w:r>
      <w:r w:rsidR="006F2E2B" w:rsidRPr="00F748F9">
        <w:rPr>
          <w:rFonts w:cs="Arial"/>
          <w:sz w:val="24"/>
          <w:szCs w:val="24"/>
        </w:rPr>
        <w:t xml:space="preserve">The Annual Survey of Hours and </w:t>
      </w:r>
      <w:r>
        <w:rPr>
          <w:rFonts w:cs="Arial"/>
          <w:sz w:val="24"/>
          <w:szCs w:val="24"/>
        </w:rPr>
        <w:t>E</w:t>
      </w:r>
      <w:r w:rsidR="006F2E2B" w:rsidRPr="00F748F9">
        <w:rPr>
          <w:rFonts w:cs="Arial"/>
          <w:sz w:val="24"/>
          <w:szCs w:val="24"/>
        </w:rPr>
        <w:t xml:space="preserve">arnings (ASHE) is used to estimate the proportion of employment income in the rest of the UK being earned by Scottish residents. This is then multiplied by an estimate of </w:t>
      </w:r>
      <w:proofErr w:type="spellStart"/>
      <w:r w:rsidR="006F2E2B" w:rsidRPr="00F748F9">
        <w:rPr>
          <w:rFonts w:cs="Arial"/>
          <w:sz w:val="24"/>
          <w:szCs w:val="24"/>
        </w:rPr>
        <w:t>RUK</w:t>
      </w:r>
      <w:proofErr w:type="spellEnd"/>
      <w:r w:rsidR="006F2E2B" w:rsidRPr="00F748F9">
        <w:rPr>
          <w:rFonts w:cs="Arial"/>
          <w:sz w:val="24"/>
          <w:szCs w:val="24"/>
        </w:rPr>
        <w:t xml:space="preserve"> onshore COE to estimate the flow from </w:t>
      </w:r>
      <w:proofErr w:type="spellStart"/>
      <w:r w:rsidR="006F2E2B" w:rsidRPr="00F748F9">
        <w:rPr>
          <w:rFonts w:cs="Arial"/>
          <w:sz w:val="24"/>
          <w:szCs w:val="24"/>
        </w:rPr>
        <w:t>RUK</w:t>
      </w:r>
      <w:proofErr w:type="spellEnd"/>
      <w:r w:rsidR="006F2E2B" w:rsidRPr="00F748F9">
        <w:rPr>
          <w:rFonts w:cs="Arial"/>
          <w:sz w:val="24"/>
          <w:szCs w:val="24"/>
        </w:rPr>
        <w:t xml:space="preserve"> to Scotland.</w:t>
      </w:r>
    </w:p>
    <w:p w14:paraId="6ADA76CC" w14:textId="05F9FE18" w:rsidR="0068553F" w:rsidRPr="00F748F9" w:rsidRDefault="000536A0"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C843F7">
        <w:rPr>
          <w:rFonts w:cs="Arial"/>
          <w:i/>
          <w:iCs/>
          <w:sz w:val="24"/>
          <w:szCs w:val="24"/>
        </w:rPr>
        <w:t xml:space="preserve">Scotland to </w:t>
      </w:r>
      <w:proofErr w:type="spellStart"/>
      <w:r w:rsidRPr="00C843F7">
        <w:rPr>
          <w:rFonts w:cs="Arial"/>
          <w:i/>
          <w:iCs/>
          <w:sz w:val="24"/>
          <w:szCs w:val="24"/>
        </w:rPr>
        <w:t>RUK</w:t>
      </w:r>
      <w:proofErr w:type="spellEnd"/>
      <w:r w:rsidR="00FD11DD" w:rsidRPr="00C843F7">
        <w:rPr>
          <w:rFonts w:cs="Arial"/>
          <w:i/>
          <w:iCs/>
          <w:sz w:val="24"/>
          <w:szCs w:val="24"/>
        </w:rPr>
        <w:t xml:space="preserve"> (Debits)</w:t>
      </w:r>
      <w:r w:rsidR="00563A1B" w:rsidRPr="00C843F7">
        <w:rPr>
          <w:rFonts w:cs="Arial"/>
          <w:i/>
          <w:iCs/>
          <w:sz w:val="24"/>
          <w:szCs w:val="24"/>
        </w:rPr>
        <w:t>:</w:t>
      </w:r>
      <w:r w:rsidR="00563A1B" w:rsidRPr="00F748F9">
        <w:rPr>
          <w:rFonts w:cs="Arial"/>
          <w:sz w:val="24"/>
          <w:szCs w:val="24"/>
        </w:rPr>
        <w:t xml:space="preserve"> </w:t>
      </w:r>
      <w:r w:rsidR="00264C42" w:rsidRPr="00F748F9">
        <w:rPr>
          <w:rFonts w:cs="Arial"/>
          <w:sz w:val="24"/>
          <w:szCs w:val="24"/>
        </w:rPr>
        <w:t xml:space="preserve">This is </w:t>
      </w:r>
      <w:r w:rsidR="002B5772" w:rsidRPr="00F748F9">
        <w:rPr>
          <w:rFonts w:cs="Arial"/>
          <w:sz w:val="24"/>
          <w:szCs w:val="24"/>
        </w:rPr>
        <w:t xml:space="preserve">effectively a balancing item, </w:t>
      </w:r>
      <w:r w:rsidR="00264C42" w:rsidRPr="00F748F9">
        <w:rPr>
          <w:rFonts w:cs="Arial"/>
          <w:sz w:val="24"/>
          <w:szCs w:val="24"/>
        </w:rPr>
        <w:t xml:space="preserve">calculated to ensure that the overall net balance is consistent with the difference between GDP </w:t>
      </w:r>
      <w:proofErr w:type="spellStart"/>
      <w:r w:rsidR="00264C42" w:rsidRPr="00F748F9">
        <w:rPr>
          <w:rFonts w:cs="Arial"/>
          <w:sz w:val="24"/>
          <w:szCs w:val="24"/>
        </w:rPr>
        <w:t>CoE</w:t>
      </w:r>
      <w:proofErr w:type="spellEnd"/>
      <w:r w:rsidR="00264C42" w:rsidRPr="00F748F9">
        <w:rPr>
          <w:rFonts w:cs="Arial"/>
          <w:sz w:val="24"/>
          <w:szCs w:val="24"/>
        </w:rPr>
        <w:t xml:space="preserve"> and </w:t>
      </w:r>
      <w:proofErr w:type="spellStart"/>
      <w:r w:rsidR="00264C42" w:rsidRPr="00F748F9">
        <w:rPr>
          <w:rFonts w:cs="Arial"/>
          <w:sz w:val="24"/>
          <w:szCs w:val="24"/>
        </w:rPr>
        <w:t>GDHI</w:t>
      </w:r>
      <w:proofErr w:type="spellEnd"/>
      <w:r w:rsidR="00264C42" w:rsidRPr="00F748F9">
        <w:rPr>
          <w:rFonts w:cs="Arial"/>
          <w:sz w:val="24"/>
          <w:szCs w:val="24"/>
        </w:rPr>
        <w:t xml:space="preserve"> </w:t>
      </w:r>
      <w:proofErr w:type="spellStart"/>
      <w:r w:rsidR="00264C42" w:rsidRPr="00F748F9">
        <w:rPr>
          <w:rFonts w:cs="Arial"/>
          <w:sz w:val="24"/>
          <w:szCs w:val="24"/>
        </w:rPr>
        <w:t>CoE</w:t>
      </w:r>
      <w:proofErr w:type="spellEnd"/>
      <w:r w:rsidR="00264C42" w:rsidRPr="00F748F9">
        <w:rPr>
          <w:rFonts w:cs="Arial"/>
          <w:sz w:val="24"/>
          <w:szCs w:val="24"/>
        </w:rPr>
        <w:t>.</w:t>
      </w:r>
    </w:p>
    <w:p w14:paraId="101691F1" w14:textId="417AD02A" w:rsidR="00A06073" w:rsidRPr="007C7952" w:rsidRDefault="00A06073" w:rsidP="008D39E0">
      <w:pPr>
        <w:pStyle w:val="ListParagraph"/>
        <w:tabs>
          <w:tab w:val="left" w:pos="360"/>
        </w:tabs>
        <w:rPr>
          <w:sz w:val="24"/>
          <w:szCs w:val="24"/>
          <w:u w:val="single"/>
        </w:rPr>
      </w:pPr>
      <w:r w:rsidRPr="007C7952">
        <w:rPr>
          <w:sz w:val="24"/>
          <w:szCs w:val="24"/>
          <w:u w:val="single"/>
        </w:rPr>
        <w:lastRenderedPageBreak/>
        <w:t>Estimating flows between o</w:t>
      </w:r>
      <w:r w:rsidR="0068553F" w:rsidRPr="007C7952">
        <w:rPr>
          <w:sz w:val="24"/>
          <w:szCs w:val="24"/>
          <w:u w:val="single"/>
        </w:rPr>
        <w:t>ff</w:t>
      </w:r>
      <w:r w:rsidRPr="007C7952">
        <w:rPr>
          <w:sz w:val="24"/>
          <w:szCs w:val="24"/>
          <w:u w:val="single"/>
        </w:rPr>
        <w:t xml:space="preserve">shore Scotland and </w:t>
      </w:r>
      <w:proofErr w:type="spellStart"/>
      <w:r w:rsidR="002A2273" w:rsidRPr="007C7952">
        <w:rPr>
          <w:sz w:val="24"/>
          <w:szCs w:val="24"/>
          <w:u w:val="single"/>
        </w:rPr>
        <w:t>RUK</w:t>
      </w:r>
      <w:proofErr w:type="spellEnd"/>
    </w:p>
    <w:p w14:paraId="11C794D1" w14:textId="5C075703" w:rsidR="0068553F" w:rsidRPr="00F748F9" w:rsidRDefault="003F52B2"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Flows between the Scottish offshore economy and the rest of the UK and between the rest of UK offshore economy and Scotland are again based on the measure of extra-</w:t>
      </w:r>
      <w:proofErr w:type="spellStart"/>
      <w:r w:rsidRPr="00F748F9">
        <w:rPr>
          <w:rFonts w:cs="Arial"/>
          <w:sz w:val="24"/>
          <w:szCs w:val="24"/>
        </w:rPr>
        <w:t>regio</w:t>
      </w:r>
      <w:proofErr w:type="spellEnd"/>
      <w:r w:rsidRPr="00F748F9">
        <w:rPr>
          <w:rFonts w:cs="Arial"/>
          <w:sz w:val="24"/>
          <w:szCs w:val="24"/>
        </w:rPr>
        <w:t xml:space="preserve"> </w:t>
      </w:r>
      <w:proofErr w:type="spellStart"/>
      <w:r w:rsidRPr="00F748F9">
        <w:rPr>
          <w:rFonts w:cs="Arial"/>
          <w:sz w:val="24"/>
          <w:szCs w:val="24"/>
        </w:rPr>
        <w:t>CoE</w:t>
      </w:r>
      <w:proofErr w:type="spellEnd"/>
      <w:r w:rsidRPr="00F748F9">
        <w:rPr>
          <w:rFonts w:cs="Arial"/>
          <w:sz w:val="24"/>
          <w:szCs w:val="24"/>
        </w:rPr>
        <w:t xml:space="preserve"> from the mining and quarrying industry in the regional accounts. A combination of Scotland’s (/</w:t>
      </w:r>
      <w:proofErr w:type="spellStart"/>
      <w:r w:rsidRPr="00F748F9">
        <w:rPr>
          <w:rFonts w:cs="Arial"/>
          <w:sz w:val="24"/>
          <w:szCs w:val="24"/>
        </w:rPr>
        <w:t>RUK’s</w:t>
      </w:r>
      <w:proofErr w:type="spellEnd"/>
      <w:r w:rsidRPr="00F748F9">
        <w:rPr>
          <w:rFonts w:cs="Arial"/>
          <w:sz w:val="24"/>
          <w:szCs w:val="24"/>
        </w:rPr>
        <w:t>) geographic share of the north sea, the proportion of workers in the UK continental shelf who are UK nationals and the proportion of these workers estimated to be resident in the rest of the UK (/Scotland) are then used to estimate these flows.</w:t>
      </w:r>
    </w:p>
    <w:p w14:paraId="3B8DDB59" w14:textId="77777777" w:rsidR="00AD03F4" w:rsidRPr="00F748F9" w:rsidRDefault="00AD03F4" w:rsidP="008D39E0">
      <w:pPr>
        <w:pStyle w:val="Heading3"/>
        <w:numPr>
          <w:ilvl w:val="1"/>
          <w:numId w:val="29"/>
        </w:numPr>
        <w:tabs>
          <w:tab w:val="left" w:pos="360"/>
        </w:tabs>
      </w:pPr>
      <w:bookmarkStart w:id="22" w:name="_Direct_Investment"/>
      <w:bookmarkEnd w:id="22"/>
      <w:r w:rsidRPr="00F748F9">
        <w:t xml:space="preserve">Direct Investment </w:t>
      </w:r>
    </w:p>
    <w:p w14:paraId="00B189BA" w14:textId="3FC43550" w:rsidR="00973A2B" w:rsidRPr="005633D9" w:rsidRDefault="00AD03F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This covers earnings made when Scottish residents have an equity interest of 10% or more in a foreign company (or vice versa).</w:t>
      </w:r>
    </w:p>
    <w:p w14:paraId="10B081E3" w14:textId="68681A48" w:rsidR="00AD03F4" w:rsidRPr="00926C0E" w:rsidRDefault="00B14619" w:rsidP="008D39E0">
      <w:pPr>
        <w:pStyle w:val="ListParagraph"/>
        <w:numPr>
          <w:ilvl w:val="0"/>
          <w:numId w:val="0"/>
        </w:numPr>
        <w:tabs>
          <w:tab w:val="left" w:pos="360"/>
        </w:tabs>
        <w:ind w:left="1080"/>
        <w:rPr>
          <w:sz w:val="24"/>
          <w:szCs w:val="24"/>
          <w:u w:val="single"/>
        </w:rPr>
      </w:pPr>
      <w:r w:rsidRPr="00926C0E">
        <w:rPr>
          <w:sz w:val="24"/>
          <w:szCs w:val="24"/>
          <w:u w:val="single"/>
        </w:rPr>
        <w:t xml:space="preserve">3.2.1: </w:t>
      </w:r>
      <w:r w:rsidR="00AD03F4" w:rsidRPr="00926C0E">
        <w:rPr>
          <w:sz w:val="24"/>
          <w:szCs w:val="24"/>
          <w:u w:val="single"/>
        </w:rPr>
        <w:t xml:space="preserve">Estimating flows between </w:t>
      </w:r>
      <w:r w:rsidR="001842A3" w:rsidRPr="00926C0E">
        <w:rPr>
          <w:sz w:val="24"/>
          <w:szCs w:val="24"/>
          <w:u w:val="single"/>
        </w:rPr>
        <w:t xml:space="preserve">onshore </w:t>
      </w:r>
      <w:r w:rsidR="00AD03F4" w:rsidRPr="00926C0E">
        <w:rPr>
          <w:sz w:val="24"/>
          <w:szCs w:val="24"/>
          <w:u w:val="single"/>
        </w:rPr>
        <w:t xml:space="preserve">Scotland and </w:t>
      </w:r>
      <w:r w:rsidR="00973A2B" w:rsidRPr="00926C0E">
        <w:rPr>
          <w:sz w:val="24"/>
          <w:szCs w:val="24"/>
          <w:u w:val="single"/>
        </w:rPr>
        <w:t>ROW</w:t>
      </w:r>
    </w:p>
    <w:p w14:paraId="1C92BB65" w14:textId="460227B3" w:rsidR="00AD03F4" w:rsidRDefault="004D3485"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 xml:space="preserve">The figures for UK income flows associated with direct investment in the Pink Book are based on the Office for National Statistics’ Foreign Direct Investment (FDI) survey. This same source has been used as the basis for estimates of Scottish flows with </w:t>
      </w:r>
      <w:r w:rsidR="008E255C">
        <w:rPr>
          <w:rFonts w:cs="Arial"/>
          <w:sz w:val="24"/>
          <w:szCs w:val="24"/>
        </w:rPr>
        <w:t>ROW</w:t>
      </w:r>
      <w:r w:rsidRPr="00F748F9">
        <w:rPr>
          <w:rFonts w:cs="Arial"/>
          <w:sz w:val="24"/>
          <w:szCs w:val="24"/>
        </w:rPr>
        <w:t xml:space="preserve">. </w:t>
      </w:r>
    </w:p>
    <w:p w14:paraId="7393DB69" w14:textId="29CE49CA" w:rsidR="00120C09" w:rsidRPr="00ED5414" w:rsidRDefault="00ED541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ED5414">
        <w:rPr>
          <w:rFonts w:cs="Arial"/>
          <w:sz w:val="24"/>
          <w:szCs w:val="24"/>
        </w:rPr>
        <w:t xml:space="preserve">The </w:t>
      </w:r>
      <w:r w:rsidR="008E255C">
        <w:rPr>
          <w:rFonts w:cs="Arial"/>
          <w:sz w:val="24"/>
          <w:szCs w:val="24"/>
        </w:rPr>
        <w:t>F</w:t>
      </w:r>
      <w:r w:rsidRPr="00ED5414">
        <w:rPr>
          <w:rFonts w:cs="Arial"/>
          <w:sz w:val="24"/>
          <w:szCs w:val="24"/>
        </w:rPr>
        <w:t xml:space="preserve">oreign </w:t>
      </w:r>
      <w:r w:rsidR="008E255C">
        <w:rPr>
          <w:rFonts w:cs="Arial"/>
          <w:sz w:val="24"/>
          <w:szCs w:val="24"/>
        </w:rPr>
        <w:t>D</w:t>
      </w:r>
      <w:r w:rsidRPr="00ED5414">
        <w:rPr>
          <w:rFonts w:cs="Arial"/>
          <w:sz w:val="24"/>
          <w:szCs w:val="24"/>
        </w:rPr>
        <w:t xml:space="preserve">irect </w:t>
      </w:r>
      <w:r w:rsidR="008E255C">
        <w:rPr>
          <w:rFonts w:cs="Arial"/>
          <w:sz w:val="24"/>
          <w:szCs w:val="24"/>
        </w:rPr>
        <w:t>I</w:t>
      </w:r>
      <w:r w:rsidRPr="00ED5414">
        <w:rPr>
          <w:rFonts w:cs="Arial"/>
          <w:sz w:val="24"/>
          <w:szCs w:val="24"/>
        </w:rPr>
        <w:t>nvestment (FDI) survey is an annual survey run by ONS. Separate surveys are used to collect data on inward and outward FDI. This is combined with data from the Bank of England for all monetary financial institutions - such as banks - and other sources for property and public corporations in FDI. Survey responses are used to estimate or impute values for every company in the UK's inward and outward FDI populations.</w:t>
      </w:r>
    </w:p>
    <w:p w14:paraId="3D7392D2" w14:textId="4FB64F36" w:rsidR="00ED5414" w:rsidRDefault="00ED541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ED5414">
        <w:rPr>
          <w:rFonts w:cs="Arial"/>
          <w:sz w:val="24"/>
          <w:szCs w:val="24"/>
        </w:rPr>
        <w:t>More information on the FDI survey can be found on the ONS website</w:t>
      </w:r>
      <w:r w:rsidRPr="00ED5414">
        <w:rPr>
          <w:sz w:val="24"/>
          <w:szCs w:val="24"/>
        </w:rPr>
        <w:t xml:space="preserve"> </w:t>
      </w:r>
      <w:hyperlink r:id="rId14" w:anchor="measuring-the-data" w:history="1">
        <w:r w:rsidRPr="00ED5414">
          <w:rPr>
            <w:rStyle w:val="Hyperlink"/>
            <w:sz w:val="24"/>
            <w:szCs w:val="24"/>
          </w:rPr>
          <w:t>Foreign direct investment involving UK companies - Office for National Statistics (ons.gov.uk)</w:t>
        </w:r>
      </w:hyperlink>
      <w:r w:rsidRPr="00ED5414">
        <w:rPr>
          <w:sz w:val="24"/>
          <w:szCs w:val="24"/>
        </w:rPr>
        <w:t>.</w:t>
      </w:r>
      <w:r w:rsidRPr="00ED5414">
        <w:rPr>
          <w:sz w:val="24"/>
          <w:szCs w:val="18"/>
        </w:rPr>
        <w:t xml:space="preserve"> </w:t>
      </w:r>
      <w:r w:rsidRPr="00ED5414">
        <w:rPr>
          <w:rFonts w:cs="Arial"/>
          <w:sz w:val="24"/>
          <w:szCs w:val="24"/>
        </w:rPr>
        <w:t>To note that the FDI publication by ONS uses the directional approach whereas the Balance of Payments uses the debits and credits approach.</w:t>
      </w:r>
    </w:p>
    <w:p w14:paraId="059568D0" w14:textId="77777777" w:rsidR="0048554C" w:rsidRDefault="00120C09" w:rsidP="008D39E0">
      <w:pPr>
        <w:tabs>
          <w:tab w:val="clear" w:pos="720"/>
          <w:tab w:val="left" w:pos="0"/>
          <w:tab w:val="left" w:pos="360"/>
        </w:tabs>
        <w:spacing w:before="100" w:beforeAutospacing="1" w:after="100" w:afterAutospacing="1" w:line="240" w:lineRule="auto"/>
        <w:ind w:left="142" w:right="113"/>
        <w:rPr>
          <w:rFonts w:cs="Arial"/>
          <w:sz w:val="24"/>
          <w:szCs w:val="24"/>
        </w:rPr>
      </w:pPr>
      <w:r>
        <w:rPr>
          <w:rFonts w:cs="Arial"/>
          <w:sz w:val="24"/>
          <w:szCs w:val="24"/>
        </w:rPr>
        <w:t xml:space="preserve">The </w:t>
      </w:r>
      <w:r w:rsidR="00CB489C">
        <w:rPr>
          <w:rFonts w:cs="Arial"/>
          <w:sz w:val="24"/>
          <w:szCs w:val="24"/>
        </w:rPr>
        <w:t>Scottish</w:t>
      </w:r>
      <w:r>
        <w:rPr>
          <w:rFonts w:cs="Arial"/>
          <w:sz w:val="24"/>
          <w:szCs w:val="24"/>
        </w:rPr>
        <w:t xml:space="preserve"> </w:t>
      </w:r>
      <w:r w:rsidR="00CB489C">
        <w:rPr>
          <w:rFonts w:cs="Arial"/>
          <w:sz w:val="24"/>
          <w:szCs w:val="24"/>
        </w:rPr>
        <w:t>Government</w:t>
      </w:r>
      <w:r>
        <w:rPr>
          <w:rFonts w:cs="Arial"/>
          <w:sz w:val="24"/>
          <w:szCs w:val="24"/>
        </w:rPr>
        <w:t xml:space="preserve"> currently hold</w:t>
      </w:r>
      <w:r w:rsidR="00CB489C">
        <w:rPr>
          <w:rFonts w:cs="Arial"/>
          <w:sz w:val="24"/>
          <w:szCs w:val="24"/>
        </w:rPr>
        <w:t xml:space="preserve"> raw</w:t>
      </w:r>
      <w:r>
        <w:rPr>
          <w:rFonts w:cs="Arial"/>
          <w:sz w:val="24"/>
          <w:szCs w:val="24"/>
        </w:rPr>
        <w:t xml:space="preserve"> data from the FDI survey for year 2010, 2012-2021. </w:t>
      </w:r>
    </w:p>
    <w:p w14:paraId="0563D8B9" w14:textId="5D39F2BE" w:rsidR="00ED5414" w:rsidRDefault="00ED541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The company level information in this survey has been mapped to the Inter Departmental Business Register (</w:t>
      </w:r>
      <w:proofErr w:type="spellStart"/>
      <w:r w:rsidRPr="00F748F9">
        <w:rPr>
          <w:rFonts w:cs="Arial"/>
          <w:sz w:val="24"/>
          <w:szCs w:val="24"/>
        </w:rPr>
        <w:t>IDBR</w:t>
      </w:r>
      <w:proofErr w:type="spellEnd"/>
      <w:r>
        <w:rPr>
          <w:rFonts w:cs="Arial"/>
          <w:sz w:val="24"/>
          <w:szCs w:val="24"/>
        </w:rPr>
        <w:t>) to determine the location of the Government Office Region</w:t>
      </w:r>
      <w:r w:rsidR="009854BA">
        <w:rPr>
          <w:rFonts w:cs="Arial"/>
          <w:sz w:val="24"/>
          <w:szCs w:val="24"/>
        </w:rPr>
        <w:t xml:space="preserve"> (</w:t>
      </w:r>
      <w:proofErr w:type="spellStart"/>
      <w:r w:rsidR="009854BA">
        <w:rPr>
          <w:rFonts w:cs="Arial"/>
          <w:sz w:val="24"/>
          <w:szCs w:val="24"/>
        </w:rPr>
        <w:t>GOR</w:t>
      </w:r>
      <w:proofErr w:type="spellEnd"/>
      <w:r w:rsidR="009854BA">
        <w:rPr>
          <w:rFonts w:cs="Arial"/>
          <w:sz w:val="24"/>
          <w:szCs w:val="24"/>
        </w:rPr>
        <w:t xml:space="preserve">) </w:t>
      </w:r>
      <w:r>
        <w:rPr>
          <w:rFonts w:cs="Arial"/>
          <w:sz w:val="24"/>
          <w:szCs w:val="24"/>
        </w:rPr>
        <w:t xml:space="preserve">of the UK headquarters and </w:t>
      </w:r>
      <w:r w:rsidR="00BA1E03">
        <w:rPr>
          <w:rFonts w:cs="Arial"/>
          <w:sz w:val="24"/>
          <w:szCs w:val="24"/>
        </w:rPr>
        <w:t xml:space="preserve">UK local subsidiaries. </w:t>
      </w:r>
    </w:p>
    <w:p w14:paraId="42567CC3" w14:textId="34D958AD" w:rsidR="00CB489C" w:rsidRDefault="00B24314" w:rsidP="008D39E0">
      <w:pPr>
        <w:tabs>
          <w:tab w:val="clear" w:pos="720"/>
          <w:tab w:val="left" w:pos="0"/>
          <w:tab w:val="left" w:pos="360"/>
        </w:tabs>
        <w:spacing w:before="100" w:beforeAutospacing="1" w:after="100" w:afterAutospacing="1" w:line="240" w:lineRule="auto"/>
        <w:ind w:left="142" w:right="113"/>
        <w:rPr>
          <w:rFonts w:cs="Arial"/>
          <w:sz w:val="24"/>
          <w:szCs w:val="24"/>
        </w:rPr>
      </w:pPr>
      <w:r>
        <w:rPr>
          <w:rFonts w:cs="Arial"/>
          <w:sz w:val="24"/>
          <w:szCs w:val="24"/>
        </w:rPr>
        <w:t xml:space="preserve">We have changed the method used to </w:t>
      </w:r>
      <w:r w:rsidR="009854BA">
        <w:rPr>
          <w:rFonts w:cs="Arial"/>
          <w:sz w:val="24"/>
          <w:szCs w:val="24"/>
        </w:rPr>
        <w:t>calculate S</w:t>
      </w:r>
      <w:r w:rsidR="008E255C">
        <w:rPr>
          <w:rFonts w:cs="Arial"/>
          <w:sz w:val="24"/>
          <w:szCs w:val="24"/>
        </w:rPr>
        <w:t>cotland’s</w:t>
      </w:r>
      <w:r w:rsidR="009854BA">
        <w:rPr>
          <w:rFonts w:cs="Arial"/>
          <w:sz w:val="24"/>
          <w:szCs w:val="24"/>
        </w:rPr>
        <w:t xml:space="preserve"> direct investment income flows from the FDI survey. In previous iterations of </w:t>
      </w:r>
      <w:proofErr w:type="spellStart"/>
      <w:r w:rsidR="009854BA">
        <w:rPr>
          <w:rFonts w:cs="Arial"/>
          <w:sz w:val="24"/>
          <w:szCs w:val="24"/>
        </w:rPr>
        <w:t>GNI</w:t>
      </w:r>
      <w:proofErr w:type="spellEnd"/>
      <w:r w:rsidR="009854BA">
        <w:rPr>
          <w:rFonts w:cs="Arial"/>
          <w:sz w:val="24"/>
          <w:szCs w:val="24"/>
        </w:rPr>
        <w:t xml:space="preserve"> estimates (released in December 201</w:t>
      </w:r>
      <w:r w:rsidR="008E255C">
        <w:rPr>
          <w:rFonts w:cs="Arial"/>
          <w:sz w:val="24"/>
          <w:szCs w:val="24"/>
        </w:rPr>
        <w:t>8</w:t>
      </w:r>
      <w:r w:rsidR="009854BA">
        <w:rPr>
          <w:rFonts w:cs="Arial"/>
          <w:sz w:val="24"/>
          <w:szCs w:val="24"/>
        </w:rPr>
        <w:t xml:space="preserve">)  a Scottish share of FDI data was calculated using the </w:t>
      </w:r>
      <w:proofErr w:type="spellStart"/>
      <w:r w:rsidR="009854BA">
        <w:rPr>
          <w:rFonts w:cs="Arial"/>
          <w:sz w:val="24"/>
          <w:szCs w:val="24"/>
        </w:rPr>
        <w:t>GOR</w:t>
      </w:r>
      <w:proofErr w:type="spellEnd"/>
      <w:r w:rsidR="009854BA">
        <w:rPr>
          <w:rFonts w:cs="Arial"/>
          <w:sz w:val="24"/>
          <w:szCs w:val="24"/>
        </w:rPr>
        <w:t xml:space="preserve"> from the </w:t>
      </w:r>
      <w:proofErr w:type="spellStart"/>
      <w:r w:rsidR="009854BA">
        <w:rPr>
          <w:rFonts w:cs="Arial"/>
          <w:sz w:val="24"/>
          <w:szCs w:val="24"/>
        </w:rPr>
        <w:t>IDBR</w:t>
      </w:r>
      <w:proofErr w:type="spellEnd"/>
      <w:r w:rsidR="009854BA">
        <w:rPr>
          <w:rFonts w:cs="Arial"/>
          <w:sz w:val="24"/>
          <w:szCs w:val="24"/>
        </w:rPr>
        <w:t xml:space="preserve">, where this information was available. </w:t>
      </w:r>
      <w:r w:rsidR="00120C09">
        <w:rPr>
          <w:rFonts w:cs="Arial"/>
          <w:sz w:val="24"/>
          <w:szCs w:val="24"/>
        </w:rPr>
        <w:t xml:space="preserve">This proportion was applied to the direct investment UK figures from the latest Pink Book release to determine Scottish flows to ROW. A </w:t>
      </w:r>
      <w:r w:rsidR="008E255C">
        <w:rPr>
          <w:rFonts w:cs="Arial"/>
          <w:sz w:val="24"/>
          <w:szCs w:val="24"/>
        </w:rPr>
        <w:t>Scottish share was used a</w:t>
      </w:r>
      <w:r w:rsidR="00120C09">
        <w:rPr>
          <w:rFonts w:cs="Arial"/>
          <w:sz w:val="24"/>
          <w:szCs w:val="24"/>
        </w:rPr>
        <w:t>s there</w:t>
      </w:r>
      <w:r w:rsidR="009854BA">
        <w:rPr>
          <w:rFonts w:cs="Arial"/>
          <w:sz w:val="24"/>
          <w:szCs w:val="24"/>
        </w:rPr>
        <w:t xml:space="preserve"> was a high proportion of companies </w:t>
      </w:r>
      <w:r w:rsidR="008E255C">
        <w:rPr>
          <w:rFonts w:cs="Arial"/>
          <w:sz w:val="24"/>
          <w:szCs w:val="24"/>
        </w:rPr>
        <w:t xml:space="preserve">from the FDI survey </w:t>
      </w:r>
      <w:r w:rsidR="009854BA">
        <w:rPr>
          <w:rFonts w:cs="Arial"/>
          <w:sz w:val="24"/>
          <w:szCs w:val="24"/>
        </w:rPr>
        <w:t xml:space="preserve">where the </w:t>
      </w:r>
      <w:proofErr w:type="spellStart"/>
      <w:r w:rsidR="009854BA">
        <w:rPr>
          <w:rFonts w:cs="Arial"/>
          <w:sz w:val="24"/>
          <w:szCs w:val="24"/>
        </w:rPr>
        <w:t>GOR</w:t>
      </w:r>
      <w:proofErr w:type="spellEnd"/>
      <w:r w:rsidR="009854BA">
        <w:rPr>
          <w:rFonts w:cs="Arial"/>
          <w:sz w:val="24"/>
          <w:szCs w:val="24"/>
        </w:rPr>
        <w:t xml:space="preserve"> was unavailable. </w:t>
      </w:r>
    </w:p>
    <w:p w14:paraId="68ABE0EC" w14:textId="425BDA82" w:rsidR="00B24314" w:rsidRDefault="00120C09" w:rsidP="008D39E0">
      <w:pPr>
        <w:tabs>
          <w:tab w:val="clear" w:pos="720"/>
          <w:tab w:val="left" w:pos="0"/>
          <w:tab w:val="left" w:pos="360"/>
        </w:tabs>
        <w:spacing w:before="100" w:beforeAutospacing="1" w:after="100" w:afterAutospacing="1" w:line="240" w:lineRule="auto"/>
        <w:ind w:left="142" w:right="113"/>
        <w:rPr>
          <w:rFonts w:cs="Arial"/>
          <w:sz w:val="24"/>
          <w:szCs w:val="24"/>
        </w:rPr>
      </w:pPr>
      <w:r>
        <w:rPr>
          <w:rFonts w:cs="Arial"/>
          <w:sz w:val="24"/>
          <w:szCs w:val="24"/>
        </w:rPr>
        <w:t>For FDI years, 2014 to 2021 w</w:t>
      </w:r>
      <w:r w:rsidR="009854BA">
        <w:rPr>
          <w:rFonts w:cs="Arial"/>
          <w:sz w:val="24"/>
          <w:szCs w:val="24"/>
        </w:rPr>
        <w:t xml:space="preserve">e have been able to significantly increase our </w:t>
      </w:r>
      <w:proofErr w:type="spellStart"/>
      <w:r w:rsidR="009854BA">
        <w:rPr>
          <w:rFonts w:cs="Arial"/>
          <w:sz w:val="24"/>
          <w:szCs w:val="24"/>
        </w:rPr>
        <w:t>GOR</w:t>
      </w:r>
      <w:proofErr w:type="spellEnd"/>
      <w:r w:rsidR="009854BA">
        <w:rPr>
          <w:rFonts w:cs="Arial"/>
          <w:sz w:val="24"/>
          <w:szCs w:val="24"/>
        </w:rPr>
        <w:t xml:space="preserve"> matching rate and therefore </w:t>
      </w:r>
      <w:r>
        <w:rPr>
          <w:rFonts w:cs="Arial"/>
          <w:sz w:val="24"/>
          <w:szCs w:val="24"/>
        </w:rPr>
        <w:t xml:space="preserve">use data directly from the FDI survey. </w:t>
      </w:r>
      <w:r w:rsidR="00CB489C">
        <w:rPr>
          <w:rFonts w:cs="Arial"/>
          <w:sz w:val="24"/>
          <w:szCs w:val="24"/>
        </w:rPr>
        <w:t xml:space="preserve">FDI survey results for 2010, 2012 and 2013 are based on a share of companies with HQ in </w:t>
      </w:r>
      <w:r w:rsidR="006D0CD6">
        <w:rPr>
          <w:rFonts w:cs="Arial"/>
          <w:sz w:val="24"/>
          <w:szCs w:val="24"/>
        </w:rPr>
        <w:t>Scotland</w:t>
      </w:r>
      <w:r w:rsidR="00CB489C">
        <w:rPr>
          <w:rFonts w:cs="Arial"/>
          <w:sz w:val="24"/>
          <w:szCs w:val="24"/>
        </w:rPr>
        <w:t xml:space="preserve"> which is </w:t>
      </w:r>
      <w:r w:rsidR="00CB489C">
        <w:rPr>
          <w:rFonts w:cs="Arial"/>
          <w:sz w:val="24"/>
          <w:szCs w:val="24"/>
        </w:rPr>
        <w:lastRenderedPageBreak/>
        <w:t xml:space="preserve">applied to the UK Pink Book figures, as used in the previous </w:t>
      </w:r>
      <w:r w:rsidR="006D0CD6">
        <w:rPr>
          <w:rFonts w:cs="Arial"/>
          <w:sz w:val="24"/>
          <w:szCs w:val="24"/>
        </w:rPr>
        <w:t>iterations</w:t>
      </w:r>
      <w:r w:rsidR="00CB489C">
        <w:rPr>
          <w:rFonts w:cs="Arial"/>
          <w:sz w:val="24"/>
          <w:szCs w:val="24"/>
        </w:rPr>
        <w:t xml:space="preserve">. This is due to a lower </w:t>
      </w:r>
      <w:proofErr w:type="spellStart"/>
      <w:r w:rsidR="00CB489C">
        <w:rPr>
          <w:rFonts w:cs="Arial"/>
          <w:sz w:val="24"/>
          <w:szCs w:val="24"/>
        </w:rPr>
        <w:t>GOR</w:t>
      </w:r>
      <w:proofErr w:type="spellEnd"/>
      <w:r w:rsidR="00CB489C">
        <w:rPr>
          <w:rFonts w:cs="Arial"/>
          <w:sz w:val="24"/>
          <w:szCs w:val="24"/>
        </w:rPr>
        <w:t xml:space="preserve"> match rate for these years. </w:t>
      </w:r>
    </w:p>
    <w:p w14:paraId="32706EBE" w14:textId="0B5EDCA1" w:rsidR="00CB489C" w:rsidRDefault="00F6589B" w:rsidP="008D39E0">
      <w:pPr>
        <w:tabs>
          <w:tab w:val="clear" w:pos="720"/>
          <w:tab w:val="left" w:pos="0"/>
          <w:tab w:val="left" w:pos="360"/>
        </w:tabs>
        <w:spacing w:before="100" w:beforeAutospacing="1" w:after="100" w:afterAutospacing="1" w:line="240" w:lineRule="auto"/>
        <w:ind w:left="142" w:right="113"/>
        <w:rPr>
          <w:rFonts w:cs="Arial"/>
          <w:sz w:val="24"/>
          <w:szCs w:val="24"/>
        </w:rPr>
      </w:pPr>
      <w:r>
        <w:rPr>
          <w:rFonts w:cs="Arial"/>
          <w:sz w:val="24"/>
          <w:szCs w:val="24"/>
        </w:rPr>
        <w:t xml:space="preserve">Direct </w:t>
      </w:r>
      <w:r w:rsidR="00733A28">
        <w:rPr>
          <w:rFonts w:cs="Arial"/>
          <w:sz w:val="24"/>
          <w:szCs w:val="24"/>
        </w:rPr>
        <w:t>Investment</w:t>
      </w:r>
      <w:r>
        <w:rPr>
          <w:rFonts w:cs="Arial"/>
          <w:sz w:val="24"/>
          <w:szCs w:val="24"/>
        </w:rPr>
        <w:t xml:space="preserve"> flows for </w:t>
      </w:r>
      <w:r w:rsidR="00733A28">
        <w:rPr>
          <w:rFonts w:cs="Arial"/>
          <w:sz w:val="24"/>
          <w:szCs w:val="24"/>
        </w:rPr>
        <w:t>Scotland</w:t>
      </w:r>
      <w:r>
        <w:rPr>
          <w:rFonts w:cs="Arial"/>
          <w:sz w:val="24"/>
          <w:szCs w:val="24"/>
        </w:rPr>
        <w:t xml:space="preserve"> for 1998 – 2009 are based on the average Scottish share of FDI flows between 2014 and 2019</w:t>
      </w:r>
      <w:r w:rsidR="00733A28">
        <w:rPr>
          <w:rFonts w:cs="Arial"/>
          <w:sz w:val="24"/>
          <w:szCs w:val="24"/>
        </w:rPr>
        <w:t xml:space="preserve">, which </w:t>
      </w:r>
      <w:r>
        <w:rPr>
          <w:rFonts w:cs="Arial"/>
          <w:sz w:val="24"/>
          <w:szCs w:val="24"/>
        </w:rPr>
        <w:t xml:space="preserve">is applied to the UK flows figures for that year. </w:t>
      </w:r>
      <w:r w:rsidR="00733A28">
        <w:rPr>
          <w:rFonts w:cs="Arial"/>
          <w:sz w:val="24"/>
          <w:szCs w:val="24"/>
        </w:rPr>
        <w:t xml:space="preserve">The same approach was taken 2011 result which is based on an average </w:t>
      </w:r>
      <w:r w:rsidR="008E255C">
        <w:rPr>
          <w:rFonts w:cs="Arial"/>
          <w:sz w:val="24"/>
          <w:szCs w:val="24"/>
        </w:rPr>
        <w:t xml:space="preserve">of </w:t>
      </w:r>
      <w:r w:rsidR="00733A28">
        <w:rPr>
          <w:rFonts w:cs="Arial"/>
          <w:sz w:val="24"/>
          <w:szCs w:val="24"/>
        </w:rPr>
        <w:t xml:space="preserve">2010 and 2012. </w:t>
      </w:r>
      <w:r>
        <w:rPr>
          <w:rFonts w:cs="Arial"/>
          <w:sz w:val="24"/>
          <w:szCs w:val="24"/>
        </w:rPr>
        <w:t xml:space="preserve"> </w:t>
      </w:r>
    </w:p>
    <w:p w14:paraId="502135A8" w14:textId="77777777" w:rsidR="007A2078" w:rsidRPr="00F748F9" w:rsidRDefault="007A2078"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 xml:space="preserve">The FDI survey does not include the banking sector. Instead, estimates are supplied by the Bank of England for UK flows only. This means it is not possible to map data associated with banks to a Government Office Region in the manner described above. Instead Scotland is attributed a Banking </w:t>
      </w:r>
      <w:proofErr w:type="spellStart"/>
      <w:r w:rsidRPr="00F748F9">
        <w:rPr>
          <w:rFonts w:cs="Arial"/>
          <w:sz w:val="24"/>
          <w:szCs w:val="24"/>
        </w:rPr>
        <w:t>GVA</w:t>
      </w:r>
      <w:proofErr w:type="spellEnd"/>
      <w:r w:rsidRPr="00F748F9">
        <w:rPr>
          <w:rFonts w:cs="Arial"/>
          <w:sz w:val="24"/>
          <w:szCs w:val="24"/>
        </w:rPr>
        <w:t xml:space="preserve"> share of the total UK FDI flows associated with banks.</w:t>
      </w:r>
    </w:p>
    <w:p w14:paraId="4C26ABD0" w14:textId="0903DB38" w:rsidR="00683051" w:rsidRPr="00C843F7" w:rsidRDefault="00683051" w:rsidP="008D39E0">
      <w:pPr>
        <w:tabs>
          <w:tab w:val="clear" w:pos="720"/>
          <w:tab w:val="left" w:pos="0"/>
          <w:tab w:val="left" w:pos="360"/>
        </w:tabs>
        <w:spacing w:before="100" w:beforeAutospacing="1" w:after="100" w:afterAutospacing="1" w:line="240" w:lineRule="auto"/>
        <w:ind w:left="142" w:right="113"/>
        <w:rPr>
          <w:rFonts w:cs="Arial"/>
          <w:i/>
          <w:iCs/>
          <w:sz w:val="24"/>
          <w:szCs w:val="24"/>
        </w:rPr>
      </w:pPr>
      <w:r w:rsidRPr="00C843F7">
        <w:rPr>
          <w:rFonts w:cs="Arial"/>
          <w:i/>
          <w:iCs/>
          <w:sz w:val="24"/>
          <w:szCs w:val="24"/>
        </w:rPr>
        <w:t xml:space="preserve">ROW to </w:t>
      </w:r>
      <w:r w:rsidR="005633D9" w:rsidRPr="00C843F7">
        <w:rPr>
          <w:rFonts w:cs="Arial"/>
          <w:i/>
          <w:iCs/>
          <w:sz w:val="24"/>
          <w:szCs w:val="24"/>
        </w:rPr>
        <w:t xml:space="preserve">onshore </w:t>
      </w:r>
      <w:r w:rsidRPr="00C843F7">
        <w:rPr>
          <w:rFonts w:cs="Arial"/>
          <w:i/>
          <w:iCs/>
          <w:sz w:val="24"/>
          <w:szCs w:val="24"/>
        </w:rPr>
        <w:t xml:space="preserve">Scotland flows (Credits): </w:t>
      </w:r>
    </w:p>
    <w:p w14:paraId="50A10416" w14:textId="12E5D4EC" w:rsidR="00683051" w:rsidRDefault="00683051" w:rsidP="008D39E0">
      <w:pPr>
        <w:tabs>
          <w:tab w:val="clear" w:pos="720"/>
          <w:tab w:val="left" w:pos="0"/>
          <w:tab w:val="left" w:pos="360"/>
        </w:tabs>
        <w:spacing w:before="100" w:beforeAutospacing="1" w:after="100" w:afterAutospacing="1" w:line="240" w:lineRule="auto"/>
        <w:ind w:left="142" w:right="113"/>
        <w:rPr>
          <w:rFonts w:cs="Arial"/>
          <w:sz w:val="24"/>
          <w:szCs w:val="24"/>
        </w:rPr>
      </w:pPr>
      <w:r>
        <w:rPr>
          <w:rFonts w:cs="Arial"/>
          <w:sz w:val="24"/>
          <w:szCs w:val="24"/>
        </w:rPr>
        <w:t xml:space="preserve">Flows from </w:t>
      </w:r>
      <w:r w:rsidR="00203E53">
        <w:rPr>
          <w:rFonts w:cs="Arial"/>
          <w:sz w:val="24"/>
          <w:szCs w:val="24"/>
        </w:rPr>
        <w:t xml:space="preserve">ROW to </w:t>
      </w:r>
      <w:r w:rsidR="008E255C">
        <w:rPr>
          <w:rFonts w:cs="Arial"/>
          <w:sz w:val="24"/>
          <w:szCs w:val="24"/>
        </w:rPr>
        <w:t xml:space="preserve">onshore </w:t>
      </w:r>
      <w:r w:rsidR="00203E53">
        <w:rPr>
          <w:rFonts w:cs="Arial"/>
          <w:sz w:val="24"/>
          <w:szCs w:val="24"/>
        </w:rPr>
        <w:t>Scotland</w:t>
      </w:r>
      <w:r>
        <w:rPr>
          <w:rFonts w:cs="Arial"/>
          <w:sz w:val="24"/>
          <w:szCs w:val="24"/>
        </w:rPr>
        <w:t xml:space="preserve"> is largely made up </w:t>
      </w:r>
      <w:r w:rsidR="00695D3A">
        <w:rPr>
          <w:rFonts w:cs="Arial"/>
          <w:sz w:val="24"/>
          <w:szCs w:val="24"/>
        </w:rPr>
        <w:t>data</w:t>
      </w:r>
      <w:r>
        <w:rPr>
          <w:rFonts w:cs="Arial"/>
          <w:sz w:val="24"/>
          <w:szCs w:val="24"/>
        </w:rPr>
        <w:t xml:space="preserve"> collected through the </w:t>
      </w:r>
      <w:r w:rsidR="00695D3A">
        <w:rPr>
          <w:rFonts w:cs="Arial"/>
          <w:sz w:val="24"/>
          <w:szCs w:val="24"/>
        </w:rPr>
        <w:t>out</w:t>
      </w:r>
      <w:r>
        <w:rPr>
          <w:rFonts w:cs="Arial"/>
          <w:sz w:val="24"/>
          <w:szCs w:val="24"/>
        </w:rPr>
        <w:t xml:space="preserve">ward FDI survey. The </w:t>
      </w:r>
      <w:r w:rsidR="008E255C">
        <w:rPr>
          <w:rFonts w:cs="Arial"/>
          <w:sz w:val="24"/>
          <w:szCs w:val="24"/>
        </w:rPr>
        <w:t>out</w:t>
      </w:r>
      <w:r>
        <w:rPr>
          <w:rFonts w:cs="Arial"/>
          <w:sz w:val="24"/>
          <w:szCs w:val="24"/>
        </w:rPr>
        <w:t>ward FDI survey collects data on flows of income of</w:t>
      </w:r>
      <w:r w:rsidR="00695D3A" w:rsidRPr="00695D3A">
        <w:t xml:space="preserve"> </w:t>
      </w:r>
      <w:r w:rsidR="00695D3A" w:rsidRPr="00695D3A">
        <w:rPr>
          <w:rFonts w:cs="Arial"/>
          <w:sz w:val="24"/>
          <w:szCs w:val="24"/>
        </w:rPr>
        <w:t>UK parent companies in their overseas affiliates and branches</w:t>
      </w:r>
      <w:r w:rsidR="00695D3A">
        <w:rPr>
          <w:rFonts w:cs="Arial"/>
          <w:sz w:val="24"/>
          <w:szCs w:val="24"/>
        </w:rPr>
        <w:t xml:space="preserve">. </w:t>
      </w:r>
    </w:p>
    <w:p w14:paraId="7944ADCD" w14:textId="2696FFEB" w:rsidR="008F5CFF" w:rsidRDefault="008F5CFF" w:rsidP="008D39E0">
      <w:pPr>
        <w:tabs>
          <w:tab w:val="clear" w:pos="720"/>
          <w:tab w:val="left" w:pos="0"/>
          <w:tab w:val="left" w:pos="360"/>
        </w:tabs>
        <w:spacing w:before="100" w:beforeAutospacing="1" w:after="100" w:afterAutospacing="1" w:line="240" w:lineRule="auto"/>
        <w:ind w:left="142" w:right="113"/>
        <w:rPr>
          <w:rFonts w:cs="Arial"/>
          <w:sz w:val="24"/>
          <w:szCs w:val="24"/>
        </w:rPr>
      </w:pPr>
      <w:r>
        <w:rPr>
          <w:rFonts w:cs="Arial"/>
          <w:sz w:val="24"/>
          <w:szCs w:val="24"/>
        </w:rPr>
        <w:t>We</w:t>
      </w:r>
      <w:r w:rsidRPr="008F5CFF">
        <w:rPr>
          <w:rFonts w:cs="Arial"/>
          <w:sz w:val="24"/>
          <w:szCs w:val="24"/>
        </w:rPr>
        <w:t xml:space="preserve"> assume that returns on investment overseas </w:t>
      </w:r>
      <w:r w:rsidR="008E255C">
        <w:rPr>
          <w:rFonts w:cs="Arial"/>
          <w:sz w:val="24"/>
          <w:szCs w:val="24"/>
        </w:rPr>
        <w:t>come</w:t>
      </w:r>
      <w:r w:rsidRPr="008F5CFF">
        <w:rPr>
          <w:rFonts w:cs="Arial"/>
          <w:sz w:val="24"/>
          <w:szCs w:val="24"/>
        </w:rPr>
        <w:t xml:space="preserve"> to the UK HQ </w:t>
      </w:r>
      <w:r w:rsidR="008E255C">
        <w:rPr>
          <w:rFonts w:cs="Arial"/>
          <w:sz w:val="24"/>
          <w:szCs w:val="24"/>
        </w:rPr>
        <w:t xml:space="preserve">from the overseas affiliate </w:t>
      </w:r>
      <w:r w:rsidRPr="008F5CFF">
        <w:rPr>
          <w:rFonts w:cs="Arial"/>
          <w:sz w:val="24"/>
          <w:szCs w:val="24"/>
        </w:rPr>
        <w:t xml:space="preserve">and </w:t>
      </w:r>
      <w:r w:rsidR="008E255C">
        <w:rPr>
          <w:rFonts w:cs="Arial"/>
          <w:sz w:val="24"/>
          <w:szCs w:val="24"/>
        </w:rPr>
        <w:t>remain within the HQ</w:t>
      </w:r>
      <w:r w:rsidRPr="008F5CFF">
        <w:rPr>
          <w:rFonts w:cs="Arial"/>
          <w:sz w:val="24"/>
          <w:szCs w:val="24"/>
        </w:rPr>
        <w:t>. This is conceptually consistent with the way that corporation tax is dealt with in GERS – tax on profits from UK trading are apportioned out, but other taxes are allocated to the HQ region.</w:t>
      </w:r>
      <w:r>
        <w:rPr>
          <w:rFonts w:cs="Arial"/>
          <w:sz w:val="24"/>
          <w:szCs w:val="24"/>
        </w:rPr>
        <w:t xml:space="preserve"> </w:t>
      </w:r>
    </w:p>
    <w:p w14:paraId="1990C35C" w14:textId="4AF8D884" w:rsidR="008F5CFF" w:rsidRDefault="008E255C" w:rsidP="008D39E0">
      <w:pPr>
        <w:tabs>
          <w:tab w:val="clear" w:pos="720"/>
          <w:tab w:val="left" w:pos="0"/>
          <w:tab w:val="left" w:pos="360"/>
        </w:tabs>
        <w:spacing w:before="100" w:beforeAutospacing="1" w:after="100" w:afterAutospacing="1" w:line="240" w:lineRule="auto"/>
        <w:ind w:left="142" w:right="113"/>
        <w:rPr>
          <w:rFonts w:cs="Arial"/>
          <w:sz w:val="24"/>
          <w:szCs w:val="24"/>
        </w:rPr>
      </w:pPr>
      <w:r>
        <w:rPr>
          <w:rFonts w:cs="Arial"/>
          <w:sz w:val="24"/>
          <w:szCs w:val="24"/>
        </w:rPr>
        <w:t xml:space="preserve">Flows from ROW to onshore Scotland are based on the credits flows of companies which have a </w:t>
      </w:r>
      <w:r w:rsidR="00E21F98">
        <w:rPr>
          <w:rFonts w:cs="Arial"/>
          <w:sz w:val="24"/>
          <w:szCs w:val="24"/>
        </w:rPr>
        <w:t>headquarter in Scotland</w:t>
      </w:r>
      <w:r w:rsidR="008F5CFF">
        <w:rPr>
          <w:rFonts w:cs="Arial"/>
          <w:sz w:val="24"/>
          <w:szCs w:val="24"/>
        </w:rPr>
        <w:t>.</w:t>
      </w:r>
    </w:p>
    <w:p w14:paraId="252452D6" w14:textId="192640D5" w:rsidR="00AB106D" w:rsidRPr="00C843F7" w:rsidRDefault="005633D9" w:rsidP="008D39E0">
      <w:pPr>
        <w:tabs>
          <w:tab w:val="clear" w:pos="720"/>
          <w:tab w:val="left" w:pos="0"/>
          <w:tab w:val="left" w:pos="360"/>
        </w:tabs>
        <w:spacing w:before="100" w:beforeAutospacing="1" w:after="100" w:afterAutospacing="1" w:line="240" w:lineRule="auto"/>
        <w:ind w:left="142" w:right="113"/>
        <w:rPr>
          <w:rFonts w:cs="Arial"/>
          <w:i/>
          <w:iCs/>
          <w:sz w:val="24"/>
          <w:szCs w:val="24"/>
        </w:rPr>
      </w:pPr>
      <w:r w:rsidRPr="00C843F7">
        <w:rPr>
          <w:rFonts w:cs="Arial"/>
          <w:i/>
          <w:iCs/>
          <w:sz w:val="24"/>
          <w:szCs w:val="24"/>
        </w:rPr>
        <w:t xml:space="preserve">Onshore </w:t>
      </w:r>
      <w:r w:rsidR="00ED5414" w:rsidRPr="00C843F7">
        <w:rPr>
          <w:rFonts w:cs="Arial"/>
          <w:i/>
          <w:iCs/>
          <w:sz w:val="24"/>
          <w:szCs w:val="24"/>
        </w:rPr>
        <w:t>Scotland to R</w:t>
      </w:r>
      <w:r w:rsidR="00AB106D" w:rsidRPr="00C843F7">
        <w:rPr>
          <w:rFonts w:cs="Arial"/>
          <w:i/>
          <w:iCs/>
          <w:sz w:val="24"/>
          <w:szCs w:val="24"/>
        </w:rPr>
        <w:t>OW flows</w:t>
      </w:r>
      <w:r w:rsidR="00FD11DD" w:rsidRPr="00C843F7">
        <w:rPr>
          <w:rFonts w:cs="Arial"/>
          <w:i/>
          <w:iCs/>
          <w:sz w:val="24"/>
          <w:szCs w:val="24"/>
        </w:rPr>
        <w:t xml:space="preserve"> (</w:t>
      </w:r>
      <w:r w:rsidR="00125131" w:rsidRPr="00C843F7">
        <w:rPr>
          <w:rFonts w:cs="Arial"/>
          <w:i/>
          <w:iCs/>
          <w:sz w:val="24"/>
          <w:szCs w:val="24"/>
        </w:rPr>
        <w:t>Debits</w:t>
      </w:r>
      <w:r w:rsidR="00FD11DD" w:rsidRPr="00C843F7">
        <w:rPr>
          <w:rFonts w:cs="Arial"/>
          <w:i/>
          <w:iCs/>
          <w:sz w:val="24"/>
          <w:szCs w:val="24"/>
        </w:rPr>
        <w:t>)</w:t>
      </w:r>
      <w:r w:rsidR="00AB106D" w:rsidRPr="00C843F7">
        <w:rPr>
          <w:rFonts w:cs="Arial"/>
          <w:i/>
          <w:iCs/>
          <w:sz w:val="24"/>
          <w:szCs w:val="24"/>
        </w:rPr>
        <w:t xml:space="preserve">: </w:t>
      </w:r>
    </w:p>
    <w:p w14:paraId="3518D2CD" w14:textId="2BEF17B6" w:rsidR="00125131" w:rsidRPr="00125131" w:rsidRDefault="00125131" w:rsidP="008D39E0">
      <w:pPr>
        <w:tabs>
          <w:tab w:val="clear" w:pos="720"/>
          <w:tab w:val="left" w:pos="0"/>
          <w:tab w:val="left" w:pos="360"/>
        </w:tabs>
        <w:spacing w:before="100" w:beforeAutospacing="1" w:after="100" w:afterAutospacing="1" w:line="240" w:lineRule="auto"/>
        <w:ind w:left="142" w:right="113"/>
        <w:rPr>
          <w:rFonts w:cs="Arial"/>
          <w:sz w:val="24"/>
          <w:szCs w:val="24"/>
        </w:rPr>
      </w:pPr>
      <w:r>
        <w:rPr>
          <w:rFonts w:cs="Arial"/>
          <w:sz w:val="24"/>
          <w:szCs w:val="24"/>
        </w:rPr>
        <w:t xml:space="preserve">Flows from </w:t>
      </w:r>
      <w:r w:rsidR="006354E3">
        <w:rPr>
          <w:rFonts w:cs="Arial"/>
          <w:sz w:val="24"/>
          <w:szCs w:val="24"/>
        </w:rPr>
        <w:t xml:space="preserve">onshore </w:t>
      </w:r>
      <w:r>
        <w:rPr>
          <w:rFonts w:cs="Arial"/>
          <w:sz w:val="24"/>
          <w:szCs w:val="24"/>
        </w:rPr>
        <w:t xml:space="preserve">Scotland to ROW is largely made up </w:t>
      </w:r>
      <w:r w:rsidR="00695D3A">
        <w:rPr>
          <w:rFonts w:cs="Arial"/>
          <w:sz w:val="24"/>
          <w:szCs w:val="24"/>
        </w:rPr>
        <w:t>data</w:t>
      </w:r>
      <w:r>
        <w:rPr>
          <w:rFonts w:cs="Arial"/>
          <w:sz w:val="24"/>
          <w:szCs w:val="24"/>
        </w:rPr>
        <w:t xml:space="preserve"> collected through the inward FDI survey. The inward FDI survey collects data on flows of income of </w:t>
      </w:r>
      <w:r w:rsidRPr="00125131">
        <w:rPr>
          <w:rFonts w:cs="Arial"/>
          <w:sz w:val="24"/>
          <w:szCs w:val="24"/>
        </w:rPr>
        <w:t xml:space="preserve">foreign parent companies in their UK affiliates and </w:t>
      </w:r>
      <w:r>
        <w:rPr>
          <w:rFonts w:cs="Arial"/>
          <w:sz w:val="24"/>
          <w:szCs w:val="24"/>
        </w:rPr>
        <w:t>branches.</w:t>
      </w:r>
      <w:r w:rsidRPr="00125131">
        <w:rPr>
          <w:rFonts w:cs="Arial"/>
          <w:sz w:val="24"/>
          <w:szCs w:val="24"/>
        </w:rPr>
        <w:t xml:space="preserve"> </w:t>
      </w:r>
    </w:p>
    <w:p w14:paraId="7167C957" w14:textId="77777777" w:rsidR="004458D5" w:rsidRDefault="00203E53" w:rsidP="008D39E0">
      <w:pPr>
        <w:tabs>
          <w:tab w:val="clear" w:pos="720"/>
          <w:tab w:val="left" w:pos="0"/>
          <w:tab w:val="left" w:pos="360"/>
        </w:tabs>
        <w:spacing w:before="100" w:beforeAutospacing="1" w:after="100" w:afterAutospacing="1" w:line="240" w:lineRule="auto"/>
        <w:ind w:left="142" w:right="113"/>
        <w:rPr>
          <w:rFonts w:cs="Arial"/>
          <w:sz w:val="24"/>
          <w:szCs w:val="24"/>
        </w:rPr>
      </w:pPr>
      <w:r>
        <w:rPr>
          <w:rFonts w:cs="Arial"/>
          <w:sz w:val="24"/>
          <w:szCs w:val="24"/>
        </w:rPr>
        <w:t>If we used the same approach for flows going from foreign owned companies to UK affiliates (debits) as did for UK owned companies with oversea affiliate</w:t>
      </w:r>
      <w:r w:rsidR="004458D5">
        <w:rPr>
          <w:rFonts w:cs="Arial"/>
          <w:sz w:val="24"/>
          <w:szCs w:val="24"/>
        </w:rPr>
        <w:t>s</w:t>
      </w:r>
      <w:r>
        <w:rPr>
          <w:rFonts w:cs="Arial"/>
          <w:sz w:val="24"/>
          <w:szCs w:val="24"/>
        </w:rPr>
        <w:t xml:space="preserve"> (credits) </w:t>
      </w:r>
      <w:r w:rsidR="00AD03F4" w:rsidRPr="00F748F9">
        <w:rPr>
          <w:rFonts w:cs="Arial"/>
          <w:sz w:val="24"/>
          <w:szCs w:val="24"/>
        </w:rPr>
        <w:t>this</w:t>
      </w:r>
      <w:r>
        <w:rPr>
          <w:rFonts w:cs="Arial"/>
          <w:sz w:val="24"/>
          <w:szCs w:val="24"/>
        </w:rPr>
        <w:t xml:space="preserve"> would</w:t>
      </w:r>
      <w:r w:rsidR="00AD03F4" w:rsidRPr="00F748F9">
        <w:rPr>
          <w:rFonts w:cs="Arial"/>
          <w:sz w:val="24"/>
          <w:szCs w:val="24"/>
        </w:rPr>
        <w:t xml:space="preserve"> attribute the whole of an outflow to the location of the UK headquarters. In reality there would be an income flow from the company’s operations in the rest of the UK to the headquarters and then the entire UK income flow would occur from the UK headquarters to the overseas parent company. </w:t>
      </w:r>
    </w:p>
    <w:p w14:paraId="7082DC42" w14:textId="702D940D" w:rsidR="004458D5" w:rsidRDefault="005633D9" w:rsidP="006E402E">
      <w:pPr>
        <w:tabs>
          <w:tab w:val="clear" w:pos="720"/>
          <w:tab w:val="left" w:pos="0"/>
          <w:tab w:val="left" w:pos="360"/>
        </w:tabs>
        <w:spacing w:before="100" w:beforeAutospacing="1" w:after="100" w:afterAutospacing="1" w:line="240" w:lineRule="auto"/>
        <w:ind w:left="142" w:right="113"/>
        <w:rPr>
          <w:rFonts w:cs="Arial"/>
          <w:sz w:val="24"/>
          <w:szCs w:val="24"/>
        </w:rPr>
      </w:pPr>
      <w:r>
        <w:rPr>
          <w:rFonts w:cs="Arial"/>
          <w:sz w:val="24"/>
          <w:szCs w:val="24"/>
        </w:rPr>
        <w:t xml:space="preserve">Therefore for inward FDI companies, </w:t>
      </w:r>
      <w:r w:rsidR="006E402E">
        <w:rPr>
          <w:rFonts w:cs="Arial"/>
          <w:sz w:val="24"/>
          <w:szCs w:val="24"/>
        </w:rPr>
        <w:t xml:space="preserve">for each company we have taken a proportion of turnover generated in Scotland or </w:t>
      </w:r>
      <w:proofErr w:type="spellStart"/>
      <w:r w:rsidR="006E402E">
        <w:rPr>
          <w:rFonts w:cs="Arial"/>
          <w:sz w:val="24"/>
          <w:szCs w:val="24"/>
        </w:rPr>
        <w:t>RUK</w:t>
      </w:r>
      <w:proofErr w:type="spellEnd"/>
      <w:r w:rsidR="006E402E">
        <w:rPr>
          <w:rFonts w:cs="Arial"/>
          <w:sz w:val="24"/>
          <w:szCs w:val="24"/>
        </w:rPr>
        <w:t xml:space="preserve"> based on their local units, </w:t>
      </w:r>
      <w:r w:rsidRPr="005633D9">
        <w:rPr>
          <w:rFonts w:cs="Arial"/>
          <w:sz w:val="24"/>
          <w:szCs w:val="24"/>
        </w:rPr>
        <w:t xml:space="preserve">rather than allocating everything to the region where the head office </w:t>
      </w:r>
      <w:r>
        <w:rPr>
          <w:rFonts w:cs="Arial"/>
          <w:sz w:val="24"/>
          <w:szCs w:val="24"/>
        </w:rPr>
        <w:t xml:space="preserve">is. </w:t>
      </w:r>
    </w:p>
    <w:p w14:paraId="74DA7E29" w14:textId="0235EF24" w:rsidR="001842A3" w:rsidRPr="00926C0E" w:rsidRDefault="00B14619" w:rsidP="008D39E0">
      <w:pPr>
        <w:tabs>
          <w:tab w:val="left" w:pos="360"/>
        </w:tabs>
        <w:ind w:left="1080" w:hanging="720"/>
        <w:rPr>
          <w:sz w:val="24"/>
          <w:szCs w:val="18"/>
          <w:u w:val="single"/>
        </w:rPr>
      </w:pPr>
      <w:r w:rsidRPr="00926C0E">
        <w:rPr>
          <w:sz w:val="24"/>
          <w:szCs w:val="18"/>
          <w:u w:val="single"/>
        </w:rPr>
        <w:t xml:space="preserve">3.3.2: </w:t>
      </w:r>
      <w:r w:rsidR="001842A3" w:rsidRPr="00926C0E">
        <w:rPr>
          <w:sz w:val="24"/>
          <w:szCs w:val="18"/>
          <w:u w:val="single"/>
        </w:rPr>
        <w:t xml:space="preserve">Estimating flows between offshore Scotland and </w:t>
      </w:r>
      <w:r w:rsidR="005633D9" w:rsidRPr="00926C0E">
        <w:rPr>
          <w:sz w:val="24"/>
          <w:szCs w:val="18"/>
          <w:u w:val="single"/>
        </w:rPr>
        <w:t xml:space="preserve">ROW </w:t>
      </w:r>
    </w:p>
    <w:p w14:paraId="69E20C18" w14:textId="10D69636" w:rsidR="005633D9" w:rsidRPr="00C843F7" w:rsidRDefault="005633D9" w:rsidP="008D39E0">
      <w:pPr>
        <w:tabs>
          <w:tab w:val="clear" w:pos="720"/>
          <w:tab w:val="left" w:pos="0"/>
          <w:tab w:val="left" w:pos="360"/>
        </w:tabs>
        <w:spacing w:before="100" w:beforeAutospacing="1" w:after="100" w:afterAutospacing="1" w:line="240" w:lineRule="auto"/>
        <w:ind w:left="142" w:right="113"/>
        <w:rPr>
          <w:rFonts w:cs="Arial"/>
          <w:i/>
          <w:iCs/>
          <w:sz w:val="24"/>
          <w:szCs w:val="24"/>
        </w:rPr>
      </w:pPr>
      <w:r w:rsidRPr="00C843F7">
        <w:rPr>
          <w:rFonts w:cs="Arial"/>
          <w:i/>
          <w:iCs/>
          <w:sz w:val="24"/>
          <w:szCs w:val="24"/>
        </w:rPr>
        <w:t xml:space="preserve">ROW to </w:t>
      </w:r>
      <w:r w:rsidR="00F81A7A" w:rsidRPr="00C843F7">
        <w:rPr>
          <w:rFonts w:cs="Arial"/>
          <w:i/>
          <w:iCs/>
          <w:sz w:val="24"/>
          <w:szCs w:val="24"/>
        </w:rPr>
        <w:t>off</w:t>
      </w:r>
      <w:r w:rsidRPr="00C843F7">
        <w:rPr>
          <w:rFonts w:cs="Arial"/>
          <w:i/>
          <w:iCs/>
          <w:sz w:val="24"/>
          <w:szCs w:val="24"/>
        </w:rPr>
        <w:t xml:space="preserve">shore Scotland flows (Credits): </w:t>
      </w:r>
    </w:p>
    <w:p w14:paraId="76B088E8" w14:textId="03CAE16F" w:rsidR="00825FDA" w:rsidRDefault="00F81A7A" w:rsidP="008D39E0">
      <w:pPr>
        <w:tabs>
          <w:tab w:val="clear" w:pos="720"/>
          <w:tab w:val="left" w:pos="0"/>
          <w:tab w:val="left" w:pos="360"/>
        </w:tabs>
        <w:spacing w:before="100" w:beforeAutospacing="1" w:after="100" w:afterAutospacing="1" w:line="240" w:lineRule="auto"/>
        <w:ind w:right="113"/>
        <w:rPr>
          <w:rFonts w:cs="Arial"/>
          <w:sz w:val="24"/>
          <w:szCs w:val="24"/>
        </w:rPr>
      </w:pPr>
      <w:r>
        <w:rPr>
          <w:rFonts w:cs="Arial"/>
          <w:sz w:val="24"/>
          <w:szCs w:val="24"/>
        </w:rPr>
        <w:t>Offshore companies are delt as same as onshore companies for flows into Scotland</w:t>
      </w:r>
      <w:r w:rsidR="0083714D">
        <w:rPr>
          <w:rFonts w:cs="Arial"/>
          <w:sz w:val="24"/>
          <w:szCs w:val="24"/>
        </w:rPr>
        <w:t xml:space="preserve"> from ROW</w:t>
      </w:r>
      <w:r>
        <w:rPr>
          <w:rFonts w:cs="Arial"/>
          <w:sz w:val="24"/>
          <w:szCs w:val="24"/>
        </w:rPr>
        <w:t xml:space="preserve">. </w:t>
      </w:r>
    </w:p>
    <w:p w14:paraId="0F74C425" w14:textId="7B841929" w:rsidR="00825FDA" w:rsidRPr="00C843F7" w:rsidRDefault="00F81A7A" w:rsidP="008D39E0">
      <w:pPr>
        <w:tabs>
          <w:tab w:val="clear" w:pos="720"/>
          <w:tab w:val="left" w:pos="0"/>
          <w:tab w:val="left" w:pos="360"/>
        </w:tabs>
        <w:spacing w:before="100" w:beforeAutospacing="1" w:after="100" w:afterAutospacing="1" w:line="240" w:lineRule="auto"/>
        <w:ind w:left="142" w:right="113"/>
        <w:rPr>
          <w:rFonts w:cs="Arial"/>
          <w:i/>
          <w:iCs/>
          <w:sz w:val="24"/>
          <w:szCs w:val="24"/>
        </w:rPr>
      </w:pPr>
      <w:r w:rsidRPr="00C843F7">
        <w:rPr>
          <w:rFonts w:cs="Arial"/>
          <w:i/>
          <w:iCs/>
          <w:sz w:val="24"/>
          <w:szCs w:val="24"/>
        </w:rPr>
        <w:lastRenderedPageBreak/>
        <w:t>Off</w:t>
      </w:r>
      <w:r w:rsidR="00825FDA" w:rsidRPr="00C843F7">
        <w:rPr>
          <w:rFonts w:cs="Arial"/>
          <w:i/>
          <w:iCs/>
          <w:sz w:val="24"/>
          <w:szCs w:val="24"/>
        </w:rPr>
        <w:t xml:space="preserve">shore Scotland to ROW flows (Debits): </w:t>
      </w:r>
    </w:p>
    <w:p w14:paraId="5190EE3C" w14:textId="60BC2369" w:rsidR="00AD03F4" w:rsidRDefault="0019476E" w:rsidP="008D39E0">
      <w:pPr>
        <w:tabs>
          <w:tab w:val="clear" w:pos="720"/>
          <w:tab w:val="left" w:pos="0"/>
          <w:tab w:val="left" w:pos="360"/>
        </w:tabs>
        <w:spacing w:before="100" w:beforeAutospacing="1" w:after="100" w:afterAutospacing="1" w:line="240" w:lineRule="auto"/>
        <w:ind w:right="113"/>
        <w:rPr>
          <w:rFonts w:cs="Arial"/>
          <w:sz w:val="24"/>
          <w:szCs w:val="24"/>
        </w:rPr>
      </w:pPr>
      <w:r w:rsidRPr="00694E95">
        <w:rPr>
          <w:rFonts w:cs="Arial"/>
          <w:sz w:val="24"/>
          <w:szCs w:val="24"/>
        </w:rPr>
        <w:t>A similar method is used for offshore companies as used for onshore companies. However the apportion is based on</w:t>
      </w:r>
      <w:r w:rsidR="00377E7D" w:rsidRPr="00694E95">
        <w:rPr>
          <w:rFonts w:cs="Arial"/>
          <w:sz w:val="24"/>
          <w:szCs w:val="24"/>
        </w:rPr>
        <w:t xml:space="preserve"> a share of company level GOS generated in Scottish water</w:t>
      </w:r>
      <w:r w:rsidR="0012645E">
        <w:rPr>
          <w:rFonts w:cs="Arial"/>
          <w:sz w:val="24"/>
          <w:szCs w:val="24"/>
        </w:rPr>
        <w:t>,</w:t>
      </w:r>
      <w:r w:rsidR="00377E7D" w:rsidRPr="00694E95">
        <w:rPr>
          <w:rFonts w:cs="Arial"/>
          <w:sz w:val="24"/>
          <w:szCs w:val="24"/>
        </w:rPr>
        <w:t xml:space="preserve"> based on expenditure from Scottish Government estimates, including expenditure from a commercial source. </w:t>
      </w:r>
    </w:p>
    <w:p w14:paraId="30115237" w14:textId="32C6C480" w:rsidR="0083714D" w:rsidRDefault="0083714D" w:rsidP="008D39E0">
      <w:pPr>
        <w:tabs>
          <w:tab w:val="clear" w:pos="720"/>
          <w:tab w:val="left" w:pos="0"/>
          <w:tab w:val="left" w:pos="360"/>
        </w:tabs>
        <w:spacing w:before="100" w:beforeAutospacing="1" w:after="100" w:afterAutospacing="1" w:line="240" w:lineRule="auto"/>
        <w:ind w:right="113"/>
        <w:rPr>
          <w:rFonts w:cs="Arial"/>
          <w:sz w:val="24"/>
          <w:szCs w:val="24"/>
        </w:rPr>
      </w:pPr>
      <w:r w:rsidRPr="0083714D">
        <w:rPr>
          <w:rFonts w:cs="Arial"/>
          <w:i/>
          <w:iCs/>
          <w:sz w:val="24"/>
          <w:szCs w:val="24"/>
        </w:rPr>
        <w:t>Comparison of credit and debit ROW flows</w:t>
      </w:r>
      <w:r>
        <w:rPr>
          <w:rFonts w:cs="Arial"/>
          <w:sz w:val="24"/>
          <w:szCs w:val="24"/>
        </w:rPr>
        <w:t xml:space="preserve">: </w:t>
      </w:r>
    </w:p>
    <w:p w14:paraId="4729B50F" w14:textId="0A9AEBC5" w:rsidR="0083714D" w:rsidRPr="00F748F9" w:rsidRDefault="0083714D" w:rsidP="00AE1AAA">
      <w:pPr>
        <w:tabs>
          <w:tab w:val="clear" w:pos="720"/>
          <w:tab w:val="left" w:pos="0"/>
          <w:tab w:val="left" w:pos="360"/>
        </w:tabs>
        <w:spacing w:before="100" w:beforeAutospacing="1" w:after="100" w:afterAutospacing="1" w:line="240" w:lineRule="auto"/>
        <w:ind w:left="142" w:right="113"/>
        <w:rPr>
          <w:rFonts w:cs="Arial"/>
          <w:sz w:val="24"/>
          <w:szCs w:val="24"/>
        </w:rPr>
      </w:pPr>
      <w:r w:rsidRPr="00E4295D">
        <w:rPr>
          <w:rFonts w:cs="Arial"/>
          <w:sz w:val="24"/>
          <w:szCs w:val="24"/>
        </w:rPr>
        <w:t xml:space="preserve">The methods outlined above show that debits and credit flows for direct investment are based on two separate set of assumptions, flow into Scotland from the ROW are determined by the location of the companies HQ. Flows from Scotland to ROW are based on the proportion of revenue generated within all local unit offices based throughout the UK. </w:t>
      </w:r>
      <w:r w:rsidR="00E4295D" w:rsidRPr="00E4295D">
        <w:rPr>
          <w:rFonts w:cs="Arial"/>
          <w:sz w:val="24"/>
          <w:szCs w:val="24"/>
        </w:rPr>
        <w:t>Care should be taken when directly comparing direct investment debit and credit flows for Scotland due to the different assumption they are measured on.</w:t>
      </w:r>
      <w:r w:rsidR="00E4295D">
        <w:rPr>
          <w:rFonts w:cs="Arial"/>
          <w:sz w:val="24"/>
          <w:szCs w:val="24"/>
        </w:rPr>
        <w:t xml:space="preserve"> </w:t>
      </w:r>
    </w:p>
    <w:p w14:paraId="4010605E" w14:textId="09997455" w:rsidR="00AD03F4" w:rsidRPr="00926C0E" w:rsidRDefault="00B14619" w:rsidP="008D39E0">
      <w:pPr>
        <w:tabs>
          <w:tab w:val="left" w:pos="360"/>
        </w:tabs>
        <w:ind w:left="1080" w:hanging="720"/>
        <w:rPr>
          <w:sz w:val="24"/>
          <w:szCs w:val="18"/>
          <w:u w:val="single"/>
        </w:rPr>
      </w:pPr>
      <w:r w:rsidRPr="00926C0E">
        <w:rPr>
          <w:sz w:val="24"/>
          <w:szCs w:val="18"/>
          <w:u w:val="single"/>
        </w:rPr>
        <w:t xml:space="preserve">3.2.3: </w:t>
      </w:r>
      <w:r w:rsidR="00AD03F4" w:rsidRPr="00926C0E">
        <w:rPr>
          <w:sz w:val="24"/>
          <w:szCs w:val="18"/>
          <w:u w:val="single"/>
        </w:rPr>
        <w:t xml:space="preserve">Estimating flows between </w:t>
      </w:r>
      <w:r w:rsidR="001842A3" w:rsidRPr="00926C0E">
        <w:rPr>
          <w:sz w:val="24"/>
          <w:szCs w:val="18"/>
          <w:u w:val="single"/>
        </w:rPr>
        <w:t xml:space="preserve">onshore </w:t>
      </w:r>
      <w:r w:rsidR="00AD03F4" w:rsidRPr="00926C0E">
        <w:rPr>
          <w:sz w:val="24"/>
          <w:szCs w:val="18"/>
          <w:u w:val="single"/>
        </w:rPr>
        <w:t>Scotland and the rest of the UK</w:t>
      </w:r>
    </w:p>
    <w:p w14:paraId="23256BA0" w14:textId="4C1A1CD8" w:rsidR="001842A3" w:rsidRPr="00F748F9" w:rsidRDefault="001842A3"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Flows of direct investment between Scotland and the rest of the UK are calculated by estimating the proportion of Post Tax Operating Surplus (PTOS) generated in Scotland and owned by companies based in the rest of the UK and vice versa.</w:t>
      </w:r>
    </w:p>
    <w:p w14:paraId="6C8FB0C5" w14:textId="65800176" w:rsidR="000423BF" w:rsidRDefault="001842A3"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PTOS estimates are based on Gross Operating Surplus</w:t>
      </w:r>
      <w:r w:rsidR="000D2AE2">
        <w:rPr>
          <w:rFonts w:cs="Arial"/>
          <w:sz w:val="24"/>
          <w:szCs w:val="24"/>
        </w:rPr>
        <w:t xml:space="preserve"> </w:t>
      </w:r>
      <w:r w:rsidRPr="00F748F9">
        <w:rPr>
          <w:rFonts w:cs="Arial"/>
          <w:sz w:val="24"/>
          <w:szCs w:val="24"/>
        </w:rPr>
        <w:t xml:space="preserve">and tax data (from GERS). </w:t>
      </w:r>
      <w:r w:rsidR="000423BF">
        <w:rPr>
          <w:rFonts w:cs="Arial"/>
          <w:sz w:val="24"/>
          <w:szCs w:val="24"/>
        </w:rPr>
        <w:t xml:space="preserve">In previous estimates of DI flows between Scotland and </w:t>
      </w:r>
      <w:proofErr w:type="spellStart"/>
      <w:r w:rsidR="000423BF">
        <w:rPr>
          <w:rFonts w:cs="Arial"/>
          <w:sz w:val="24"/>
          <w:szCs w:val="24"/>
        </w:rPr>
        <w:t>RUK</w:t>
      </w:r>
      <w:proofErr w:type="spellEnd"/>
      <w:r w:rsidR="000423BF">
        <w:rPr>
          <w:rFonts w:cs="Arial"/>
          <w:sz w:val="24"/>
          <w:szCs w:val="24"/>
        </w:rPr>
        <w:t xml:space="preserve">, PTOS estimate were based on Net Operating Surplus however we believe Gross Operating Surplus is more appropriate to derive PTOS for Balance of Payment. </w:t>
      </w:r>
    </w:p>
    <w:p w14:paraId="20D15C38" w14:textId="5FA0B4BF" w:rsidR="001842A3" w:rsidRPr="00F748F9" w:rsidRDefault="001842A3"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Turnover data from the Inter-Departmental Business Register (</w:t>
      </w:r>
      <w:proofErr w:type="spellStart"/>
      <w:r w:rsidRPr="00F748F9">
        <w:rPr>
          <w:rFonts w:cs="Arial"/>
          <w:sz w:val="24"/>
          <w:szCs w:val="24"/>
        </w:rPr>
        <w:t>IDBR</w:t>
      </w:r>
      <w:proofErr w:type="spellEnd"/>
      <w:r w:rsidRPr="00F748F9">
        <w:rPr>
          <w:rFonts w:cs="Arial"/>
          <w:sz w:val="24"/>
          <w:szCs w:val="24"/>
        </w:rPr>
        <w:t xml:space="preserve">) is used to estimate the proportion of PTOS generated in Scotland but owned by </w:t>
      </w:r>
      <w:proofErr w:type="spellStart"/>
      <w:r w:rsidRPr="00F748F9">
        <w:rPr>
          <w:rFonts w:cs="Arial"/>
          <w:sz w:val="24"/>
          <w:szCs w:val="24"/>
        </w:rPr>
        <w:t>RUK</w:t>
      </w:r>
      <w:proofErr w:type="spellEnd"/>
      <w:r w:rsidRPr="00F748F9">
        <w:rPr>
          <w:rFonts w:cs="Arial"/>
          <w:sz w:val="24"/>
          <w:szCs w:val="24"/>
        </w:rPr>
        <w:t xml:space="preserve"> companies and the proportion of PTOS generated in </w:t>
      </w:r>
      <w:proofErr w:type="spellStart"/>
      <w:r w:rsidRPr="00F748F9">
        <w:rPr>
          <w:rFonts w:cs="Arial"/>
          <w:sz w:val="24"/>
          <w:szCs w:val="24"/>
        </w:rPr>
        <w:t>RUK</w:t>
      </w:r>
      <w:proofErr w:type="spellEnd"/>
      <w:r w:rsidRPr="00F748F9">
        <w:rPr>
          <w:rFonts w:cs="Arial"/>
          <w:sz w:val="24"/>
          <w:szCs w:val="24"/>
        </w:rPr>
        <w:t xml:space="preserve"> but owned by Scottish companies.</w:t>
      </w:r>
    </w:p>
    <w:p w14:paraId="12FADF94" w14:textId="36F3C1F8" w:rsidR="001842A3" w:rsidRPr="00926C0E" w:rsidRDefault="00B14619" w:rsidP="008D39E0">
      <w:pPr>
        <w:tabs>
          <w:tab w:val="left" w:pos="360"/>
        </w:tabs>
        <w:ind w:left="1080" w:hanging="720"/>
        <w:rPr>
          <w:sz w:val="24"/>
          <w:szCs w:val="18"/>
          <w:u w:val="single"/>
        </w:rPr>
      </w:pPr>
      <w:r w:rsidRPr="00926C0E">
        <w:rPr>
          <w:sz w:val="24"/>
          <w:szCs w:val="18"/>
          <w:u w:val="single"/>
        </w:rPr>
        <w:t xml:space="preserve">3.2.4: </w:t>
      </w:r>
      <w:r w:rsidR="001842A3" w:rsidRPr="00926C0E">
        <w:rPr>
          <w:sz w:val="24"/>
          <w:szCs w:val="18"/>
          <w:u w:val="single"/>
        </w:rPr>
        <w:t>Estimating flows between offshore Scotland and the rest of the UK</w:t>
      </w:r>
    </w:p>
    <w:p w14:paraId="2BFD700F" w14:textId="4593B0B5" w:rsidR="00214924" w:rsidRPr="00214924" w:rsidRDefault="00214924" w:rsidP="00214924">
      <w:pPr>
        <w:tabs>
          <w:tab w:val="clear" w:pos="720"/>
          <w:tab w:val="left" w:pos="0"/>
          <w:tab w:val="left" w:pos="360"/>
        </w:tabs>
        <w:spacing w:before="100" w:beforeAutospacing="1" w:after="100" w:afterAutospacing="1" w:line="240" w:lineRule="auto"/>
        <w:ind w:left="142" w:right="113"/>
        <w:rPr>
          <w:sz w:val="24"/>
          <w:szCs w:val="18"/>
        </w:rPr>
      </w:pPr>
      <w:r w:rsidRPr="00214924">
        <w:rPr>
          <w:sz w:val="24"/>
          <w:szCs w:val="18"/>
        </w:rPr>
        <w:t xml:space="preserve">We are still </w:t>
      </w:r>
      <w:r>
        <w:rPr>
          <w:sz w:val="24"/>
          <w:szCs w:val="18"/>
        </w:rPr>
        <w:t xml:space="preserve">reviewing the best estimate for capturing this flow. </w:t>
      </w:r>
    </w:p>
    <w:p w14:paraId="2D056A7A" w14:textId="379A0D4F" w:rsidR="00AD03F4" w:rsidRPr="00F748F9" w:rsidRDefault="00AD03F4" w:rsidP="008D39E0">
      <w:pPr>
        <w:pStyle w:val="Heading3"/>
        <w:numPr>
          <w:ilvl w:val="1"/>
          <w:numId w:val="29"/>
        </w:numPr>
        <w:tabs>
          <w:tab w:val="left" w:pos="360"/>
        </w:tabs>
      </w:pPr>
      <w:r w:rsidRPr="00F748F9">
        <w:t xml:space="preserve">Portfolio Investment </w:t>
      </w:r>
    </w:p>
    <w:p w14:paraId="4AB26316" w14:textId="77777777" w:rsidR="00B62B97" w:rsidRPr="00F748F9" w:rsidRDefault="00B62B97"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This includes earnings from investment in equity securities (shares) or debt securities where the investor owns less than 10% of the enterprise. This also includes UK Government debt interest payments to non-residents.</w:t>
      </w:r>
    </w:p>
    <w:p w14:paraId="1871B3C8" w14:textId="4E65CF13" w:rsidR="00AD03F4" w:rsidRPr="00926C0E" w:rsidRDefault="00B14619" w:rsidP="008D39E0">
      <w:pPr>
        <w:tabs>
          <w:tab w:val="left" w:pos="360"/>
        </w:tabs>
        <w:ind w:left="360"/>
        <w:rPr>
          <w:sz w:val="24"/>
          <w:szCs w:val="18"/>
          <w:u w:val="single"/>
        </w:rPr>
      </w:pPr>
      <w:r w:rsidRPr="00926C0E">
        <w:rPr>
          <w:sz w:val="24"/>
          <w:szCs w:val="18"/>
          <w:u w:val="single"/>
        </w:rPr>
        <w:t xml:space="preserve">3.3.1: </w:t>
      </w:r>
      <w:r w:rsidR="00AD03F4" w:rsidRPr="00926C0E">
        <w:rPr>
          <w:sz w:val="24"/>
          <w:szCs w:val="18"/>
          <w:u w:val="single"/>
        </w:rPr>
        <w:t xml:space="preserve">Estimating flows between Scotland and </w:t>
      </w:r>
      <w:r w:rsidR="00162DDF" w:rsidRPr="00926C0E">
        <w:rPr>
          <w:sz w:val="24"/>
          <w:szCs w:val="18"/>
          <w:u w:val="single"/>
        </w:rPr>
        <w:t>ROW:</w:t>
      </w:r>
    </w:p>
    <w:p w14:paraId="7F3094E4" w14:textId="19ECA6D3" w:rsidR="00AD03F4" w:rsidRPr="00F748F9" w:rsidRDefault="00AD03F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In line with the standard methodology</w:t>
      </w:r>
      <w:r w:rsidR="00861D7D" w:rsidRPr="00F748F9">
        <w:rPr>
          <w:rFonts w:cs="Arial"/>
          <w:sz w:val="24"/>
          <w:szCs w:val="24"/>
        </w:rPr>
        <w:t>,</w:t>
      </w:r>
      <w:r w:rsidRPr="00F748F9">
        <w:rPr>
          <w:rFonts w:cs="Arial"/>
          <w:sz w:val="24"/>
          <w:szCs w:val="24"/>
        </w:rPr>
        <w:t xml:space="preserve"> Scotland has been allocated appropriate shares of the flows between the UK and the rest of the world.</w:t>
      </w:r>
    </w:p>
    <w:p w14:paraId="222BB562" w14:textId="784581AB" w:rsidR="00AD03F4" w:rsidRPr="00F748F9" w:rsidRDefault="00AD03F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 xml:space="preserve">Various apportionments are used for different elements of the earnings on equity securities and earnings on bonds and notes and money market instruments. </w:t>
      </w:r>
      <w:r w:rsidR="00B62B97" w:rsidRPr="00F748F9">
        <w:rPr>
          <w:rFonts w:cs="Arial"/>
          <w:sz w:val="24"/>
          <w:szCs w:val="24"/>
        </w:rPr>
        <w:t xml:space="preserve">Further details of the apportionments used can be found in </w:t>
      </w:r>
      <w:r w:rsidR="004D2A97" w:rsidRPr="00F748F9">
        <w:rPr>
          <w:rFonts w:cs="Arial"/>
          <w:sz w:val="24"/>
          <w:szCs w:val="24"/>
        </w:rPr>
        <w:t>A</w:t>
      </w:r>
      <w:r w:rsidR="00B62B97" w:rsidRPr="00F748F9">
        <w:rPr>
          <w:rFonts w:cs="Arial"/>
          <w:sz w:val="24"/>
          <w:szCs w:val="24"/>
        </w:rPr>
        <w:t>nnex B.</w:t>
      </w:r>
    </w:p>
    <w:p w14:paraId="29957A35" w14:textId="2664E6E5" w:rsidR="00AD03F4" w:rsidRPr="00926C0E" w:rsidRDefault="00B14619" w:rsidP="008D39E0">
      <w:pPr>
        <w:tabs>
          <w:tab w:val="left" w:pos="360"/>
        </w:tabs>
        <w:ind w:left="1080" w:hanging="720"/>
        <w:rPr>
          <w:sz w:val="24"/>
          <w:szCs w:val="18"/>
        </w:rPr>
      </w:pPr>
      <w:r w:rsidRPr="00926C0E">
        <w:rPr>
          <w:sz w:val="24"/>
          <w:szCs w:val="18"/>
          <w:u w:val="single"/>
        </w:rPr>
        <w:t xml:space="preserve">3.3.2: </w:t>
      </w:r>
      <w:r w:rsidR="00AD03F4" w:rsidRPr="00926C0E">
        <w:rPr>
          <w:sz w:val="24"/>
          <w:szCs w:val="18"/>
          <w:u w:val="single"/>
        </w:rPr>
        <w:t xml:space="preserve">Estimating flows between Scotland and </w:t>
      </w:r>
      <w:proofErr w:type="spellStart"/>
      <w:r w:rsidR="00162DDF" w:rsidRPr="00926C0E">
        <w:rPr>
          <w:sz w:val="24"/>
          <w:szCs w:val="18"/>
          <w:u w:val="single"/>
        </w:rPr>
        <w:t>RUK</w:t>
      </w:r>
      <w:proofErr w:type="spellEnd"/>
    </w:p>
    <w:p w14:paraId="1D872CDF" w14:textId="77777777" w:rsidR="00B14619" w:rsidRDefault="00B14619" w:rsidP="008D39E0">
      <w:pPr>
        <w:tabs>
          <w:tab w:val="left" w:pos="360"/>
        </w:tabs>
        <w:ind w:left="1080" w:hanging="720"/>
      </w:pPr>
    </w:p>
    <w:p w14:paraId="5618011F" w14:textId="1DD385E6" w:rsidR="00B62B97" w:rsidRPr="00926C0E" w:rsidRDefault="00B14619" w:rsidP="008D39E0">
      <w:pPr>
        <w:tabs>
          <w:tab w:val="left" w:pos="360"/>
        </w:tabs>
        <w:ind w:left="1080" w:hanging="720"/>
        <w:rPr>
          <w:i/>
          <w:iCs/>
          <w:sz w:val="24"/>
          <w:szCs w:val="18"/>
        </w:rPr>
      </w:pPr>
      <w:r w:rsidRPr="00926C0E">
        <w:rPr>
          <w:i/>
          <w:iCs/>
          <w:sz w:val="24"/>
          <w:szCs w:val="18"/>
        </w:rPr>
        <w:t xml:space="preserve">3.3.2: A) </w:t>
      </w:r>
      <w:r w:rsidR="00B62B97" w:rsidRPr="00926C0E">
        <w:rPr>
          <w:i/>
          <w:iCs/>
          <w:sz w:val="24"/>
          <w:szCs w:val="18"/>
        </w:rPr>
        <w:t>Income from equity securities</w:t>
      </w:r>
    </w:p>
    <w:p w14:paraId="0B4550EC" w14:textId="77777777" w:rsidR="00F4454D" w:rsidRPr="00F748F9" w:rsidRDefault="00F4454D" w:rsidP="008D39E0">
      <w:pPr>
        <w:tabs>
          <w:tab w:val="left" w:pos="360"/>
        </w:tabs>
        <w:spacing w:before="100" w:beforeAutospacing="1" w:after="100" w:afterAutospacing="1" w:line="240" w:lineRule="auto"/>
        <w:ind w:left="142" w:right="113"/>
        <w:rPr>
          <w:rFonts w:cs="Arial"/>
          <w:sz w:val="24"/>
          <w:szCs w:val="24"/>
        </w:rPr>
      </w:pPr>
      <w:r w:rsidRPr="00F748F9">
        <w:rPr>
          <w:rFonts w:cs="Arial"/>
          <w:sz w:val="24"/>
          <w:szCs w:val="24"/>
        </w:rPr>
        <w:t xml:space="preserve">The ONS Share Ownership Survey is used to identify the proportion of UK shares owned by UK individuals and by the rest of the world. Using data on foreign earnings on equity securities from the UK Economic Accounts it is possible to estimate the value of dividends paid to UK individuals. </w:t>
      </w:r>
    </w:p>
    <w:p w14:paraId="3A54C9CF" w14:textId="01DD5E8E" w:rsidR="00F4454D" w:rsidRPr="00F748F9" w:rsidRDefault="00F4454D" w:rsidP="008D39E0">
      <w:pPr>
        <w:tabs>
          <w:tab w:val="left" w:pos="360"/>
        </w:tabs>
        <w:spacing w:before="100" w:beforeAutospacing="1" w:after="100" w:afterAutospacing="1" w:line="240" w:lineRule="auto"/>
        <w:ind w:left="142" w:right="113"/>
        <w:rPr>
          <w:rFonts w:cs="Arial"/>
          <w:sz w:val="24"/>
          <w:szCs w:val="24"/>
        </w:rPr>
      </w:pPr>
      <w:r w:rsidRPr="00F748F9">
        <w:rPr>
          <w:rFonts w:cs="Arial"/>
          <w:sz w:val="24"/>
          <w:szCs w:val="24"/>
        </w:rPr>
        <w:t>The London Stock Exchange (LSE) publishes market</w:t>
      </w:r>
      <w:r w:rsidRPr="00F748F9">
        <w:rPr>
          <w:rFonts w:cs="Arial"/>
          <w:sz w:val="24"/>
          <w:szCs w:val="24"/>
          <w:lang w:val="en-GB"/>
        </w:rPr>
        <w:t xml:space="preserve"> capitalisation</w:t>
      </w:r>
      <w:r w:rsidRPr="00F748F9">
        <w:rPr>
          <w:rFonts w:cs="Arial"/>
          <w:sz w:val="24"/>
          <w:szCs w:val="24"/>
        </w:rPr>
        <w:t xml:space="preserve"> data on a company by company basis. This can be combined with the estimate of the value of dividends paid to UK individuals to estimate company level dividends.</w:t>
      </w:r>
    </w:p>
    <w:p w14:paraId="7037D794" w14:textId="32BA8418" w:rsidR="00B14619" w:rsidRPr="00F748F9" w:rsidRDefault="00F4454D" w:rsidP="008D39E0">
      <w:pPr>
        <w:tabs>
          <w:tab w:val="left" w:pos="360"/>
        </w:tabs>
        <w:spacing w:before="100" w:beforeAutospacing="1" w:after="100" w:afterAutospacing="1" w:line="240" w:lineRule="auto"/>
        <w:ind w:left="142" w:right="113"/>
        <w:rPr>
          <w:rFonts w:cs="Arial"/>
          <w:sz w:val="24"/>
          <w:szCs w:val="24"/>
        </w:rPr>
      </w:pPr>
      <w:r w:rsidRPr="00F748F9">
        <w:rPr>
          <w:rFonts w:cs="Arial"/>
          <w:sz w:val="24"/>
          <w:szCs w:val="24"/>
        </w:rPr>
        <w:t xml:space="preserve">By identifying which of these companies are based in Scotland </w:t>
      </w:r>
      <w:r w:rsidR="004A6692" w:rsidRPr="00F748F9">
        <w:rPr>
          <w:rFonts w:cs="Arial"/>
          <w:sz w:val="24"/>
          <w:szCs w:val="24"/>
        </w:rPr>
        <w:t xml:space="preserve">(using Companies House and FAME databases) </w:t>
      </w:r>
      <w:r w:rsidRPr="00F748F9">
        <w:rPr>
          <w:rFonts w:cs="Arial"/>
          <w:sz w:val="24"/>
          <w:szCs w:val="24"/>
        </w:rPr>
        <w:t xml:space="preserve">the data can be used to estimate Scottish </w:t>
      </w:r>
      <w:r w:rsidR="004A6692" w:rsidRPr="00F748F9">
        <w:rPr>
          <w:rFonts w:cs="Arial"/>
          <w:sz w:val="24"/>
          <w:szCs w:val="24"/>
        </w:rPr>
        <w:t xml:space="preserve">and </w:t>
      </w:r>
      <w:proofErr w:type="spellStart"/>
      <w:r w:rsidR="004A6692" w:rsidRPr="00F748F9">
        <w:rPr>
          <w:rFonts w:cs="Arial"/>
          <w:sz w:val="24"/>
          <w:szCs w:val="24"/>
        </w:rPr>
        <w:t>RUK</w:t>
      </w:r>
      <w:proofErr w:type="spellEnd"/>
      <w:r w:rsidR="004A6692" w:rsidRPr="00F748F9">
        <w:rPr>
          <w:rFonts w:cs="Arial"/>
          <w:sz w:val="24"/>
          <w:szCs w:val="24"/>
        </w:rPr>
        <w:t xml:space="preserve"> </w:t>
      </w:r>
      <w:r w:rsidRPr="00F748F9">
        <w:rPr>
          <w:rFonts w:cs="Arial"/>
          <w:sz w:val="24"/>
          <w:szCs w:val="24"/>
        </w:rPr>
        <w:t xml:space="preserve">dividend payments. These can then be split between those that stay in Scotland and those that are paid to </w:t>
      </w:r>
      <w:proofErr w:type="spellStart"/>
      <w:r w:rsidRPr="00F748F9">
        <w:rPr>
          <w:rFonts w:cs="Arial"/>
          <w:sz w:val="24"/>
          <w:szCs w:val="24"/>
        </w:rPr>
        <w:t>RUK</w:t>
      </w:r>
      <w:proofErr w:type="spellEnd"/>
      <w:r w:rsidRPr="00F748F9">
        <w:rPr>
          <w:rFonts w:cs="Arial"/>
          <w:sz w:val="24"/>
          <w:szCs w:val="24"/>
        </w:rPr>
        <w:t xml:space="preserve"> residents based on population share</w:t>
      </w:r>
      <w:r w:rsidR="004A6692" w:rsidRPr="00F748F9">
        <w:rPr>
          <w:rFonts w:cs="Arial"/>
          <w:sz w:val="24"/>
          <w:szCs w:val="24"/>
        </w:rPr>
        <w:t xml:space="preserve"> (assuming share ownership is broadly similar between Scottish and </w:t>
      </w:r>
      <w:proofErr w:type="spellStart"/>
      <w:r w:rsidR="004A6692" w:rsidRPr="00F748F9">
        <w:rPr>
          <w:rFonts w:cs="Arial"/>
          <w:sz w:val="24"/>
          <w:szCs w:val="24"/>
        </w:rPr>
        <w:t>RUK</w:t>
      </w:r>
      <w:proofErr w:type="spellEnd"/>
      <w:r w:rsidR="004A6692" w:rsidRPr="00F748F9">
        <w:rPr>
          <w:rFonts w:cs="Arial"/>
          <w:sz w:val="24"/>
          <w:szCs w:val="24"/>
        </w:rPr>
        <w:t xml:space="preserve"> residents)</w:t>
      </w:r>
      <w:r w:rsidRPr="00F748F9">
        <w:rPr>
          <w:rFonts w:cs="Arial"/>
          <w:sz w:val="24"/>
          <w:szCs w:val="24"/>
        </w:rPr>
        <w:t>.</w:t>
      </w:r>
    </w:p>
    <w:p w14:paraId="3FB0454D" w14:textId="08FA13F5" w:rsidR="00F4454D" w:rsidRPr="00926C0E" w:rsidRDefault="00B14619" w:rsidP="008D39E0">
      <w:pPr>
        <w:tabs>
          <w:tab w:val="left" w:pos="360"/>
        </w:tabs>
        <w:ind w:left="1080" w:hanging="720"/>
        <w:rPr>
          <w:i/>
          <w:iCs/>
          <w:sz w:val="24"/>
          <w:szCs w:val="18"/>
        </w:rPr>
      </w:pPr>
      <w:r w:rsidRPr="00926C0E">
        <w:rPr>
          <w:i/>
          <w:iCs/>
          <w:sz w:val="24"/>
          <w:szCs w:val="18"/>
        </w:rPr>
        <w:t>3.3.2</w:t>
      </w:r>
      <w:r w:rsidR="002E0ED7" w:rsidRPr="00926C0E">
        <w:rPr>
          <w:i/>
          <w:iCs/>
          <w:sz w:val="24"/>
          <w:szCs w:val="18"/>
        </w:rPr>
        <w:t>:</w:t>
      </w:r>
      <w:r w:rsidRPr="00926C0E">
        <w:rPr>
          <w:i/>
          <w:iCs/>
          <w:sz w:val="24"/>
          <w:szCs w:val="18"/>
        </w:rPr>
        <w:t xml:space="preserve"> B) </w:t>
      </w:r>
      <w:r w:rsidR="00F4454D" w:rsidRPr="00926C0E">
        <w:rPr>
          <w:i/>
          <w:iCs/>
          <w:sz w:val="24"/>
          <w:szCs w:val="18"/>
        </w:rPr>
        <w:t>Income from debt securities</w:t>
      </w:r>
    </w:p>
    <w:p w14:paraId="17FEB931" w14:textId="3802BEC1" w:rsidR="00AD03F4" w:rsidRPr="00F748F9" w:rsidRDefault="00AD03F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 xml:space="preserve">Debt securities cover UK Central Government debt interest payments. </w:t>
      </w:r>
      <w:r w:rsidR="009E5AE0">
        <w:rPr>
          <w:rFonts w:cs="Arial"/>
          <w:sz w:val="24"/>
          <w:szCs w:val="24"/>
        </w:rPr>
        <w:t>Credit flows</w:t>
      </w:r>
      <w:r w:rsidRPr="00F748F9">
        <w:rPr>
          <w:rFonts w:cs="Arial"/>
          <w:sz w:val="24"/>
          <w:szCs w:val="24"/>
        </w:rPr>
        <w:t xml:space="preserve"> relate to Scottish residents’ receipt of debt interest payments from the rest of the UK. </w:t>
      </w:r>
    </w:p>
    <w:p w14:paraId="58EEA5F2" w14:textId="0E490546" w:rsidR="00AD03F4" w:rsidRPr="00F748F9" w:rsidRDefault="00AD03F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 xml:space="preserve">Debt security </w:t>
      </w:r>
      <w:r w:rsidR="009E5AE0">
        <w:rPr>
          <w:rFonts w:cs="Arial"/>
          <w:sz w:val="24"/>
          <w:szCs w:val="24"/>
        </w:rPr>
        <w:t>debits flows</w:t>
      </w:r>
      <w:r w:rsidRPr="00F748F9">
        <w:rPr>
          <w:rFonts w:cs="Arial"/>
          <w:sz w:val="24"/>
          <w:szCs w:val="24"/>
        </w:rPr>
        <w:t xml:space="preserve"> are based on the idea that some of the UK debt is in effect held on behalf of Scotland. Interest is then paid to residents in the rest of the UK on this theoretical share of UK debt.</w:t>
      </w:r>
    </w:p>
    <w:p w14:paraId="650F8D51" w14:textId="55A066DF" w:rsidR="00AD03F4" w:rsidRPr="00F748F9" w:rsidRDefault="00AD03F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 xml:space="preserve">The Debt Management Office </w:t>
      </w:r>
      <w:r w:rsidR="00C25ED7" w:rsidRPr="00F748F9">
        <w:rPr>
          <w:rFonts w:cs="Arial"/>
          <w:sz w:val="24"/>
          <w:szCs w:val="24"/>
        </w:rPr>
        <w:t>publishes</w:t>
      </w:r>
      <w:r w:rsidRPr="00F748F9">
        <w:rPr>
          <w:rFonts w:cs="Arial"/>
          <w:sz w:val="24"/>
          <w:szCs w:val="24"/>
        </w:rPr>
        <w:t xml:space="preserve"> figures on who owns UK Government debt. Excluding the Bank of England and overseas residents, UK debt is owned by insurance companies and pension funds, monetary financial institutions, other financial institutions and households. Scotland is assigned a share of each of these sectors based on the relevant </w:t>
      </w:r>
      <w:proofErr w:type="spellStart"/>
      <w:r w:rsidRPr="00F748F9">
        <w:rPr>
          <w:rFonts w:cs="Arial"/>
          <w:sz w:val="24"/>
          <w:szCs w:val="24"/>
        </w:rPr>
        <w:t>GVA</w:t>
      </w:r>
      <w:proofErr w:type="spellEnd"/>
      <w:r w:rsidRPr="00F748F9">
        <w:rPr>
          <w:rFonts w:cs="Arial"/>
          <w:sz w:val="24"/>
          <w:szCs w:val="24"/>
        </w:rPr>
        <w:t xml:space="preserve"> share or a population share. At the same time Scotland is assigned a notional (population) share of the UK debt. These are combined together to create estimated flows between Scotland and the rest of the UK.</w:t>
      </w:r>
    </w:p>
    <w:p w14:paraId="24E92A63" w14:textId="77777777" w:rsidR="00451C58" w:rsidRPr="00451C58" w:rsidRDefault="00451C58" w:rsidP="008D39E0">
      <w:pPr>
        <w:pStyle w:val="ListParagraph"/>
        <w:numPr>
          <w:ilvl w:val="0"/>
          <w:numId w:val="50"/>
        </w:numPr>
        <w:tabs>
          <w:tab w:val="clear" w:pos="0"/>
          <w:tab w:val="clear" w:pos="1440"/>
          <w:tab w:val="clear" w:pos="2160"/>
          <w:tab w:val="clear" w:pos="2880"/>
          <w:tab w:val="clear" w:pos="4680"/>
          <w:tab w:val="clear" w:pos="5400"/>
          <w:tab w:val="clear" w:pos="9000"/>
          <w:tab w:val="left" w:pos="360"/>
        </w:tabs>
        <w:spacing w:before="180" w:beforeAutospacing="0" w:after="120" w:afterAutospacing="0" w:line="300" w:lineRule="exact"/>
        <w:ind w:right="0"/>
        <w:contextualSpacing w:val="0"/>
        <w:outlineLvl w:val="2"/>
        <w:rPr>
          <w:rFonts w:eastAsia="Times New Roman" w:cs="Times New Roman"/>
          <w:b/>
          <w:iCs w:val="0"/>
          <w:vanish/>
          <w:sz w:val="24"/>
          <w:szCs w:val="20"/>
          <w:lang w:val="en-GB"/>
        </w:rPr>
      </w:pPr>
    </w:p>
    <w:p w14:paraId="03F50CC6" w14:textId="77777777" w:rsidR="00451C58" w:rsidRPr="00451C58" w:rsidRDefault="00451C58" w:rsidP="008D39E0">
      <w:pPr>
        <w:pStyle w:val="ListParagraph"/>
        <w:numPr>
          <w:ilvl w:val="1"/>
          <w:numId w:val="50"/>
        </w:numPr>
        <w:tabs>
          <w:tab w:val="clear" w:pos="0"/>
          <w:tab w:val="clear" w:pos="1440"/>
          <w:tab w:val="clear" w:pos="2160"/>
          <w:tab w:val="clear" w:pos="2880"/>
          <w:tab w:val="clear" w:pos="4680"/>
          <w:tab w:val="clear" w:pos="5400"/>
          <w:tab w:val="clear" w:pos="9000"/>
          <w:tab w:val="left" w:pos="360"/>
        </w:tabs>
        <w:spacing w:before="180" w:beforeAutospacing="0" w:after="120" w:afterAutospacing="0" w:line="300" w:lineRule="exact"/>
        <w:ind w:right="0"/>
        <w:contextualSpacing w:val="0"/>
        <w:outlineLvl w:val="2"/>
        <w:rPr>
          <w:rFonts w:eastAsia="Times New Roman" w:cs="Times New Roman"/>
          <w:b/>
          <w:iCs w:val="0"/>
          <w:vanish/>
          <w:sz w:val="24"/>
          <w:szCs w:val="20"/>
          <w:lang w:val="en-GB"/>
        </w:rPr>
      </w:pPr>
    </w:p>
    <w:p w14:paraId="3AEEECB3" w14:textId="77777777" w:rsidR="00451C58" w:rsidRPr="00451C58" w:rsidRDefault="00451C58" w:rsidP="008D39E0">
      <w:pPr>
        <w:pStyle w:val="ListParagraph"/>
        <w:numPr>
          <w:ilvl w:val="1"/>
          <w:numId w:val="50"/>
        </w:numPr>
        <w:tabs>
          <w:tab w:val="clear" w:pos="0"/>
          <w:tab w:val="clear" w:pos="1440"/>
          <w:tab w:val="clear" w:pos="2160"/>
          <w:tab w:val="clear" w:pos="2880"/>
          <w:tab w:val="clear" w:pos="4680"/>
          <w:tab w:val="clear" w:pos="5400"/>
          <w:tab w:val="clear" w:pos="9000"/>
          <w:tab w:val="left" w:pos="360"/>
        </w:tabs>
        <w:spacing w:before="180" w:beforeAutospacing="0" w:after="120" w:afterAutospacing="0" w:line="300" w:lineRule="exact"/>
        <w:ind w:right="0"/>
        <w:contextualSpacing w:val="0"/>
        <w:outlineLvl w:val="2"/>
        <w:rPr>
          <w:rFonts w:eastAsia="Times New Roman" w:cs="Times New Roman"/>
          <w:b/>
          <w:iCs w:val="0"/>
          <w:vanish/>
          <w:sz w:val="24"/>
          <w:szCs w:val="20"/>
          <w:lang w:val="en-GB"/>
        </w:rPr>
      </w:pPr>
    </w:p>
    <w:p w14:paraId="3393F782" w14:textId="6AF7AE84" w:rsidR="00AD03F4" w:rsidRPr="00F748F9" w:rsidRDefault="00AD03F4" w:rsidP="008D39E0">
      <w:pPr>
        <w:pStyle w:val="Heading3"/>
        <w:numPr>
          <w:ilvl w:val="1"/>
          <w:numId w:val="50"/>
        </w:numPr>
        <w:tabs>
          <w:tab w:val="left" w:pos="360"/>
        </w:tabs>
      </w:pPr>
      <w:r w:rsidRPr="00F748F9">
        <w:t xml:space="preserve">Other Investment </w:t>
      </w:r>
    </w:p>
    <w:p w14:paraId="48336B01" w14:textId="51FC5E56" w:rsidR="00AD03F4" w:rsidRPr="00F748F9" w:rsidRDefault="00AD03F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Other Investment primarily covers interest received from deposits or paid on a loan where one of the parties is not resident in Scotland.</w:t>
      </w:r>
    </w:p>
    <w:p w14:paraId="779CD0D0" w14:textId="26DD6DE2" w:rsidR="00AD03F4" w:rsidRPr="00926C0E" w:rsidRDefault="00451C58" w:rsidP="008D39E0">
      <w:pPr>
        <w:tabs>
          <w:tab w:val="left" w:pos="360"/>
        </w:tabs>
        <w:ind w:left="567"/>
        <w:rPr>
          <w:sz w:val="24"/>
          <w:szCs w:val="18"/>
          <w:u w:val="single"/>
        </w:rPr>
      </w:pPr>
      <w:r w:rsidRPr="00926C0E">
        <w:rPr>
          <w:sz w:val="24"/>
          <w:szCs w:val="18"/>
          <w:u w:val="single"/>
        </w:rPr>
        <w:t xml:space="preserve">3.4.1: </w:t>
      </w:r>
      <w:r w:rsidR="00AD03F4" w:rsidRPr="00926C0E">
        <w:rPr>
          <w:sz w:val="24"/>
          <w:szCs w:val="18"/>
          <w:u w:val="single"/>
        </w:rPr>
        <w:t xml:space="preserve">Estimating flows between Scotland and </w:t>
      </w:r>
      <w:r w:rsidR="009E5AE0" w:rsidRPr="00926C0E">
        <w:rPr>
          <w:sz w:val="24"/>
          <w:szCs w:val="18"/>
          <w:u w:val="single"/>
        </w:rPr>
        <w:t>ROW:</w:t>
      </w:r>
    </w:p>
    <w:p w14:paraId="67C5C5B1" w14:textId="77777777" w:rsidR="00AD03F4" w:rsidRPr="00F748F9" w:rsidRDefault="00AD03F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In line with the standard methodology Scotland has been allocated appropriate shares of the flows between the UK and the rest of the world.</w:t>
      </w:r>
    </w:p>
    <w:p w14:paraId="4D12ED4E" w14:textId="0025CB43" w:rsidR="00AD03F4" w:rsidRPr="00F748F9" w:rsidRDefault="00AD03F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 xml:space="preserve">Various apportionments are used for different elements of the earnings on loans, earnings on deposits and other investments which make up this category. </w:t>
      </w:r>
      <w:r w:rsidR="00F4454D" w:rsidRPr="00F748F9">
        <w:rPr>
          <w:rFonts w:cs="Arial"/>
          <w:sz w:val="24"/>
          <w:szCs w:val="24"/>
        </w:rPr>
        <w:t xml:space="preserve">Further details of the apportionments used can be found in </w:t>
      </w:r>
      <w:r w:rsidR="004D2A97" w:rsidRPr="00F748F9">
        <w:rPr>
          <w:rFonts w:cs="Arial"/>
          <w:sz w:val="24"/>
          <w:szCs w:val="24"/>
        </w:rPr>
        <w:t>A</w:t>
      </w:r>
      <w:r w:rsidR="00F4454D" w:rsidRPr="00F748F9">
        <w:rPr>
          <w:rFonts w:cs="Arial"/>
          <w:sz w:val="24"/>
          <w:szCs w:val="24"/>
        </w:rPr>
        <w:t>nnex B.</w:t>
      </w:r>
    </w:p>
    <w:p w14:paraId="65F2F6AA" w14:textId="45FF7621" w:rsidR="00AD03F4" w:rsidRPr="00926C0E" w:rsidRDefault="00451C58" w:rsidP="008D39E0">
      <w:pPr>
        <w:tabs>
          <w:tab w:val="left" w:pos="360"/>
        </w:tabs>
        <w:ind w:left="567"/>
        <w:rPr>
          <w:sz w:val="24"/>
          <w:szCs w:val="18"/>
          <w:u w:val="single"/>
        </w:rPr>
      </w:pPr>
      <w:r w:rsidRPr="00926C0E">
        <w:rPr>
          <w:sz w:val="24"/>
          <w:szCs w:val="18"/>
          <w:u w:val="single"/>
        </w:rPr>
        <w:t>3.4.2:</w:t>
      </w:r>
      <w:r w:rsidR="003A3D38" w:rsidRPr="00926C0E">
        <w:rPr>
          <w:sz w:val="24"/>
          <w:szCs w:val="18"/>
          <w:u w:val="single"/>
        </w:rPr>
        <w:t xml:space="preserve"> </w:t>
      </w:r>
      <w:r w:rsidR="00AD03F4" w:rsidRPr="00926C0E">
        <w:rPr>
          <w:sz w:val="24"/>
          <w:szCs w:val="18"/>
          <w:u w:val="single"/>
        </w:rPr>
        <w:t xml:space="preserve">Estimating flows between Scotland and </w:t>
      </w:r>
      <w:proofErr w:type="spellStart"/>
      <w:r w:rsidR="009E5AE0" w:rsidRPr="00926C0E">
        <w:rPr>
          <w:sz w:val="24"/>
          <w:szCs w:val="18"/>
          <w:u w:val="single"/>
        </w:rPr>
        <w:t>RUK</w:t>
      </w:r>
      <w:proofErr w:type="spellEnd"/>
      <w:r w:rsidR="009E5AE0" w:rsidRPr="00926C0E">
        <w:rPr>
          <w:sz w:val="24"/>
          <w:szCs w:val="18"/>
          <w:u w:val="single"/>
        </w:rPr>
        <w:t>:</w:t>
      </w:r>
    </w:p>
    <w:p w14:paraId="236EAAF2" w14:textId="77777777" w:rsidR="00AD03F4" w:rsidRPr="00F748F9" w:rsidRDefault="00AD03F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lastRenderedPageBreak/>
        <w:t>It is assumed that there are no cross-border income flows between Scotland and the rest of the UK associated with deposits or loans. This follows the approach taken in the 2013 work which drew upon expert advice from Martin Kellaway. This remains an area for further work.</w:t>
      </w:r>
    </w:p>
    <w:p w14:paraId="203671FD" w14:textId="77777777" w:rsidR="00AD03F4" w:rsidRPr="00F748F9" w:rsidRDefault="00AD03F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 xml:space="preserve">This leaves property income attributable to insurance policy holders, payable on pension entitlements and attributable to collective investment fund shareholders. The UK Blue Book shows flows under these 3 headings between one part of the economy and another (so for example, property income attributable to insurance policy holders is paid by insurance corporations and pension funds to households, financial corporations and other insurance corporations and pension funds). Scotland is allocated a share of each of these based on </w:t>
      </w:r>
      <w:proofErr w:type="spellStart"/>
      <w:r w:rsidRPr="00F748F9">
        <w:rPr>
          <w:rFonts w:cs="Arial"/>
          <w:sz w:val="24"/>
          <w:szCs w:val="24"/>
        </w:rPr>
        <w:t>GVA</w:t>
      </w:r>
      <w:proofErr w:type="spellEnd"/>
      <w:r w:rsidRPr="00F748F9">
        <w:rPr>
          <w:rFonts w:cs="Arial"/>
          <w:sz w:val="24"/>
          <w:szCs w:val="24"/>
        </w:rPr>
        <w:t xml:space="preserve"> or population and flows between Scotland and the rest of the UK can then be calculated. </w:t>
      </w:r>
    </w:p>
    <w:p w14:paraId="4C8DB767" w14:textId="77777777" w:rsidR="00AD03F4" w:rsidRPr="00F748F9" w:rsidRDefault="00AD03F4" w:rsidP="008D39E0">
      <w:pPr>
        <w:pStyle w:val="Heading3"/>
        <w:numPr>
          <w:ilvl w:val="1"/>
          <w:numId w:val="50"/>
        </w:numPr>
        <w:tabs>
          <w:tab w:val="left" w:pos="360"/>
        </w:tabs>
      </w:pPr>
      <w:r w:rsidRPr="00F748F9">
        <w:t>Other Primary Income</w:t>
      </w:r>
    </w:p>
    <w:p w14:paraId="73C1BE2F" w14:textId="351D66B2" w:rsidR="00AD03F4" w:rsidRPr="00F748F9" w:rsidRDefault="00AD03F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 xml:space="preserve">Taxes paid and subsidies </w:t>
      </w:r>
      <w:r w:rsidR="008135D7" w:rsidRPr="00F748F9">
        <w:rPr>
          <w:rFonts w:cs="Arial"/>
          <w:sz w:val="24"/>
          <w:szCs w:val="24"/>
        </w:rPr>
        <w:t xml:space="preserve">on products and production </w:t>
      </w:r>
      <w:r w:rsidRPr="00F748F9">
        <w:rPr>
          <w:rFonts w:cs="Arial"/>
          <w:sz w:val="24"/>
          <w:szCs w:val="24"/>
        </w:rPr>
        <w:t>received from non-residents (e.g. contributions to EU and receipts of EU subsidies).</w:t>
      </w:r>
    </w:p>
    <w:p w14:paraId="498D2056" w14:textId="25D75216" w:rsidR="00AD03F4" w:rsidRPr="00864012" w:rsidRDefault="00282D44" w:rsidP="008D39E0">
      <w:pPr>
        <w:tabs>
          <w:tab w:val="left" w:pos="360"/>
        </w:tabs>
        <w:ind w:left="567"/>
        <w:rPr>
          <w:sz w:val="24"/>
          <w:szCs w:val="18"/>
          <w:u w:val="single"/>
        </w:rPr>
      </w:pPr>
      <w:r w:rsidRPr="00864012">
        <w:rPr>
          <w:sz w:val="24"/>
          <w:szCs w:val="18"/>
          <w:u w:val="single"/>
        </w:rPr>
        <w:t xml:space="preserve">3.5.1: </w:t>
      </w:r>
      <w:r w:rsidR="00AD03F4" w:rsidRPr="00864012">
        <w:rPr>
          <w:sz w:val="24"/>
          <w:szCs w:val="18"/>
          <w:u w:val="single"/>
        </w:rPr>
        <w:t xml:space="preserve">Estimating flows between Scotland and </w:t>
      </w:r>
      <w:r w:rsidRPr="00864012">
        <w:rPr>
          <w:sz w:val="24"/>
          <w:szCs w:val="18"/>
          <w:u w:val="single"/>
        </w:rPr>
        <w:t>ROW:</w:t>
      </w:r>
    </w:p>
    <w:p w14:paraId="68AE43CB" w14:textId="77777777" w:rsidR="00FD65D6" w:rsidRPr="00F748F9" w:rsidRDefault="00FD65D6"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In line with the standard methodology Scotland has been allocated appropriate shares of the flows between the UK and the rest of the world.</w:t>
      </w:r>
    </w:p>
    <w:p w14:paraId="3CA7C98D" w14:textId="5C2F2201" w:rsidR="00FD65D6" w:rsidRPr="00F748F9" w:rsidRDefault="00FD65D6"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 xml:space="preserve">Various apportionments are used for the different elements which make up this category. Further details of the apportionments used can be found in </w:t>
      </w:r>
      <w:r w:rsidR="004D2A97" w:rsidRPr="00F748F9">
        <w:rPr>
          <w:rFonts w:cs="Arial"/>
          <w:sz w:val="24"/>
          <w:szCs w:val="24"/>
        </w:rPr>
        <w:t>A</w:t>
      </w:r>
      <w:r w:rsidRPr="00F748F9">
        <w:rPr>
          <w:rFonts w:cs="Arial"/>
          <w:sz w:val="24"/>
          <w:szCs w:val="24"/>
        </w:rPr>
        <w:t>nnex B.</w:t>
      </w:r>
    </w:p>
    <w:p w14:paraId="15AC42E4" w14:textId="510155AD" w:rsidR="00AD03F4" w:rsidRPr="00864012" w:rsidRDefault="00282D44" w:rsidP="008D39E0">
      <w:pPr>
        <w:tabs>
          <w:tab w:val="left" w:pos="360"/>
        </w:tabs>
        <w:ind w:left="567"/>
        <w:rPr>
          <w:sz w:val="24"/>
          <w:szCs w:val="18"/>
          <w:u w:val="single"/>
        </w:rPr>
      </w:pPr>
      <w:r w:rsidRPr="00864012">
        <w:rPr>
          <w:sz w:val="24"/>
          <w:szCs w:val="18"/>
          <w:u w:val="single"/>
        </w:rPr>
        <w:t xml:space="preserve">3.5.2: </w:t>
      </w:r>
      <w:r w:rsidR="00AD03F4" w:rsidRPr="00864012">
        <w:rPr>
          <w:sz w:val="24"/>
          <w:szCs w:val="18"/>
          <w:u w:val="single"/>
        </w:rPr>
        <w:t xml:space="preserve">Estimating flows between Scotland and </w:t>
      </w:r>
      <w:proofErr w:type="spellStart"/>
      <w:r w:rsidRPr="00864012">
        <w:rPr>
          <w:sz w:val="24"/>
          <w:szCs w:val="18"/>
          <w:u w:val="single"/>
        </w:rPr>
        <w:t>RUK</w:t>
      </w:r>
      <w:proofErr w:type="spellEnd"/>
      <w:r w:rsidRPr="00864012">
        <w:rPr>
          <w:sz w:val="24"/>
          <w:szCs w:val="18"/>
          <w:u w:val="single"/>
        </w:rPr>
        <w:t>:</w:t>
      </w:r>
    </w:p>
    <w:p w14:paraId="3320B142" w14:textId="6CD892C0" w:rsidR="00CE4165" w:rsidRPr="00F748F9" w:rsidRDefault="00CE4165"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 xml:space="preserve">Taxes and subsidies within the National Accounts </w:t>
      </w:r>
      <w:proofErr w:type="spellStart"/>
      <w:r w:rsidRPr="00F748F9">
        <w:rPr>
          <w:rFonts w:cs="Arial"/>
          <w:sz w:val="24"/>
          <w:szCs w:val="24"/>
        </w:rPr>
        <w:t>GNI</w:t>
      </w:r>
      <w:proofErr w:type="spellEnd"/>
      <w:r w:rsidRPr="00F748F9">
        <w:rPr>
          <w:rFonts w:cs="Arial"/>
          <w:sz w:val="24"/>
          <w:szCs w:val="24"/>
        </w:rPr>
        <w:t xml:space="preserve"> framework relates to payments and receipts to and from EU institutions. It is therefore assumed that cross-border flows with the rest of the UK will be zero.</w:t>
      </w:r>
    </w:p>
    <w:p w14:paraId="5FD630F4" w14:textId="77777777" w:rsidR="00AD03F4" w:rsidRPr="00F748F9" w:rsidRDefault="00AD03F4" w:rsidP="008D39E0">
      <w:pPr>
        <w:pStyle w:val="Heading3"/>
        <w:numPr>
          <w:ilvl w:val="1"/>
          <w:numId w:val="50"/>
        </w:numPr>
        <w:tabs>
          <w:tab w:val="left" w:pos="360"/>
        </w:tabs>
      </w:pPr>
      <w:r w:rsidRPr="00F748F9">
        <w:t xml:space="preserve">Reserve Assets </w:t>
      </w:r>
    </w:p>
    <w:p w14:paraId="3720EC77" w14:textId="77777777" w:rsidR="00AD03F4" w:rsidRPr="00F748F9" w:rsidRDefault="00AD03F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Interest received on official foreign exchange reserves and relating to the International Monetary Fund (IMF).</w:t>
      </w:r>
    </w:p>
    <w:p w14:paraId="2AB52C35" w14:textId="5345BEDE" w:rsidR="00AD03F4" w:rsidRPr="0039569B" w:rsidRDefault="0039569B" w:rsidP="008D39E0">
      <w:pPr>
        <w:tabs>
          <w:tab w:val="left" w:pos="360"/>
        </w:tabs>
        <w:ind w:left="567"/>
        <w:rPr>
          <w:sz w:val="24"/>
          <w:szCs w:val="18"/>
          <w:u w:val="single"/>
        </w:rPr>
      </w:pPr>
      <w:r>
        <w:rPr>
          <w:sz w:val="24"/>
          <w:szCs w:val="18"/>
          <w:u w:val="single"/>
        </w:rPr>
        <w:t xml:space="preserve">3.6.1: </w:t>
      </w:r>
      <w:r w:rsidR="00AD03F4" w:rsidRPr="0039569B">
        <w:rPr>
          <w:sz w:val="24"/>
          <w:szCs w:val="18"/>
          <w:u w:val="single"/>
        </w:rPr>
        <w:t xml:space="preserve">Estimating flows between Scotland and </w:t>
      </w:r>
      <w:r>
        <w:rPr>
          <w:sz w:val="24"/>
          <w:szCs w:val="18"/>
          <w:u w:val="single"/>
        </w:rPr>
        <w:t>ROW:</w:t>
      </w:r>
    </w:p>
    <w:p w14:paraId="25B812AD" w14:textId="77777777" w:rsidR="00AD03F4" w:rsidRPr="00F748F9" w:rsidRDefault="00AD03F4" w:rsidP="008D39E0">
      <w:pPr>
        <w:tabs>
          <w:tab w:val="clear" w:pos="720"/>
          <w:tab w:val="left" w:pos="0"/>
          <w:tab w:val="left" w:pos="360"/>
        </w:tabs>
        <w:spacing w:before="100" w:beforeAutospacing="1" w:after="100" w:afterAutospacing="1" w:line="240" w:lineRule="auto"/>
        <w:ind w:left="142" w:right="113"/>
        <w:rPr>
          <w:rFonts w:cs="Arial"/>
          <w:sz w:val="24"/>
          <w:szCs w:val="24"/>
        </w:rPr>
      </w:pPr>
      <w:r w:rsidRPr="00F748F9">
        <w:rPr>
          <w:rFonts w:cs="Arial"/>
          <w:sz w:val="24"/>
          <w:szCs w:val="24"/>
        </w:rPr>
        <w:t>Reserve assets have been apportioned to Scotland using a population share.</w:t>
      </w:r>
    </w:p>
    <w:p w14:paraId="28E77354" w14:textId="35B83233" w:rsidR="00AD03F4" w:rsidRPr="0039569B" w:rsidRDefault="0039569B" w:rsidP="008D39E0">
      <w:pPr>
        <w:tabs>
          <w:tab w:val="left" w:pos="360"/>
        </w:tabs>
        <w:ind w:left="567"/>
        <w:rPr>
          <w:sz w:val="24"/>
          <w:szCs w:val="18"/>
          <w:u w:val="single"/>
        </w:rPr>
      </w:pPr>
      <w:r>
        <w:rPr>
          <w:sz w:val="24"/>
          <w:szCs w:val="18"/>
          <w:u w:val="single"/>
        </w:rPr>
        <w:t xml:space="preserve">3.6.2: </w:t>
      </w:r>
      <w:r w:rsidR="00AD03F4" w:rsidRPr="0039569B">
        <w:rPr>
          <w:sz w:val="24"/>
          <w:szCs w:val="18"/>
          <w:u w:val="single"/>
        </w:rPr>
        <w:t xml:space="preserve">Estimating flows between Scotland and </w:t>
      </w:r>
      <w:proofErr w:type="spellStart"/>
      <w:r>
        <w:rPr>
          <w:sz w:val="24"/>
          <w:szCs w:val="18"/>
          <w:u w:val="single"/>
        </w:rPr>
        <w:t>RUK</w:t>
      </w:r>
      <w:proofErr w:type="spellEnd"/>
      <w:r>
        <w:rPr>
          <w:sz w:val="24"/>
          <w:szCs w:val="18"/>
          <w:u w:val="single"/>
        </w:rPr>
        <w:t>:</w:t>
      </w:r>
    </w:p>
    <w:p w14:paraId="434B8369" w14:textId="77777777" w:rsidR="00EC728F" w:rsidRDefault="00AD03F4" w:rsidP="008D39E0">
      <w:pPr>
        <w:tabs>
          <w:tab w:val="left" w:pos="360"/>
        </w:tabs>
        <w:spacing w:before="100" w:beforeAutospacing="1" w:after="100" w:afterAutospacing="1" w:line="240" w:lineRule="auto"/>
        <w:ind w:left="142" w:right="113"/>
        <w:rPr>
          <w:rFonts w:cs="Arial"/>
          <w:sz w:val="24"/>
          <w:szCs w:val="24"/>
        </w:rPr>
      </w:pPr>
      <w:r w:rsidRPr="00F748F9">
        <w:rPr>
          <w:rFonts w:cs="Arial"/>
          <w:sz w:val="24"/>
          <w:szCs w:val="24"/>
        </w:rPr>
        <w:t>There are assumed to be no income flows associated with reserve assets between Scotland and the rest of the UK.</w:t>
      </w:r>
      <w:bookmarkStart w:id="23" w:name="_Toc506898975"/>
      <w:bookmarkStart w:id="24" w:name="_Toc507015571"/>
      <w:bookmarkStart w:id="25" w:name="_Toc138594607"/>
      <w:bookmarkEnd w:id="20"/>
      <w:bookmarkEnd w:id="21"/>
    </w:p>
    <w:bookmarkEnd w:id="23"/>
    <w:bookmarkEnd w:id="24"/>
    <w:p w14:paraId="3C7D39FF" w14:textId="5F05E416" w:rsidR="002B5772" w:rsidRPr="00EC728F" w:rsidRDefault="00B80F04" w:rsidP="008D39E0">
      <w:pPr>
        <w:pStyle w:val="Heading2"/>
        <w:tabs>
          <w:tab w:val="left" w:pos="360"/>
        </w:tabs>
        <w:rPr>
          <w:rStyle w:val="Strong"/>
          <w:b/>
          <w:bCs w:val="0"/>
        </w:rPr>
      </w:pPr>
      <w:r w:rsidRPr="00EC728F">
        <w:t>Data Sources and Apportionment methods</w:t>
      </w:r>
      <w:bookmarkEnd w:id="25"/>
    </w:p>
    <w:p w14:paraId="6BB5A57C" w14:textId="71BF5616" w:rsidR="009D1CC2" w:rsidRPr="00F748F9" w:rsidRDefault="002F709B" w:rsidP="007C7952">
      <w:pPr>
        <w:pStyle w:val="SGBodytext"/>
        <w:rPr>
          <w:rStyle w:val="Strong"/>
          <w:rFonts w:cs="Times New Roman"/>
          <w:b w:val="0"/>
          <w:sz w:val="30"/>
        </w:rPr>
      </w:pPr>
      <w:r>
        <w:rPr>
          <w:rStyle w:val="Strong"/>
        </w:rPr>
        <w:t xml:space="preserve">4.1 </w:t>
      </w:r>
      <w:r w:rsidR="00F50188" w:rsidRPr="00F748F9">
        <w:rPr>
          <w:rStyle w:val="Strong"/>
        </w:rPr>
        <w:t xml:space="preserve">Compensation of employees flows with </w:t>
      </w:r>
      <w:r>
        <w:rPr>
          <w:rStyle w:val="Strong"/>
        </w:rPr>
        <w:t>ROW/</w:t>
      </w:r>
      <w:proofErr w:type="spellStart"/>
      <w:r>
        <w:rPr>
          <w:rStyle w:val="Strong"/>
        </w:rPr>
        <w:t>RUK</w:t>
      </w:r>
      <w:proofErr w:type="spellEnd"/>
    </w:p>
    <w:p w14:paraId="07EA83ED" w14:textId="37A77FCA" w:rsidR="002B5772" w:rsidRPr="00F748F9" w:rsidRDefault="00D055E0" w:rsidP="007C7952">
      <w:pPr>
        <w:pStyle w:val="SGBodytext"/>
        <w:rPr>
          <w:rStyle w:val="Strong"/>
          <w:b w:val="0"/>
        </w:rPr>
      </w:pPr>
      <w:r>
        <w:rPr>
          <w:rStyle w:val="Strong"/>
          <w:b w:val="0"/>
        </w:rPr>
        <w:lastRenderedPageBreak/>
        <w:t>A</w:t>
      </w:r>
      <w:r w:rsidR="002B5772" w:rsidRPr="00F748F9">
        <w:rPr>
          <w:rStyle w:val="Strong"/>
          <w:b w:val="0"/>
        </w:rPr>
        <w:t xml:space="preserve"> number of sources are used to estimate </w:t>
      </w:r>
      <w:proofErr w:type="spellStart"/>
      <w:r w:rsidR="002B5772" w:rsidRPr="00F748F9">
        <w:rPr>
          <w:rStyle w:val="Strong"/>
          <w:b w:val="0"/>
        </w:rPr>
        <w:t>CoE</w:t>
      </w:r>
      <w:proofErr w:type="spellEnd"/>
      <w:r w:rsidR="002B5772" w:rsidRPr="00F748F9">
        <w:rPr>
          <w:rStyle w:val="Strong"/>
          <w:b w:val="0"/>
        </w:rPr>
        <w:t xml:space="preserve"> flows. These include </w:t>
      </w:r>
      <w:r w:rsidR="00D36F27" w:rsidRPr="00F748F9">
        <w:rPr>
          <w:rStyle w:val="Strong"/>
          <w:b w:val="0"/>
        </w:rPr>
        <w:t xml:space="preserve">estimates of </w:t>
      </w:r>
      <w:proofErr w:type="spellStart"/>
      <w:r w:rsidR="00D36F27" w:rsidRPr="00F748F9">
        <w:rPr>
          <w:rStyle w:val="Strong"/>
          <w:b w:val="0"/>
        </w:rPr>
        <w:t>CoE</w:t>
      </w:r>
      <w:proofErr w:type="spellEnd"/>
      <w:r w:rsidR="00D36F27" w:rsidRPr="00F748F9">
        <w:rPr>
          <w:rStyle w:val="Strong"/>
          <w:b w:val="0"/>
        </w:rPr>
        <w:t xml:space="preserve"> from GDP and </w:t>
      </w:r>
      <w:proofErr w:type="spellStart"/>
      <w:r w:rsidR="00D36F27" w:rsidRPr="00F748F9">
        <w:rPr>
          <w:rStyle w:val="Strong"/>
          <w:b w:val="0"/>
        </w:rPr>
        <w:t>GDHI</w:t>
      </w:r>
      <w:proofErr w:type="spellEnd"/>
      <w:r w:rsidR="00D36F27" w:rsidRPr="00F748F9">
        <w:rPr>
          <w:rStyle w:val="Strong"/>
          <w:b w:val="0"/>
        </w:rPr>
        <w:t>,</w:t>
      </w:r>
      <w:r w:rsidR="009D1CC2" w:rsidRPr="00F748F9">
        <w:rPr>
          <w:rStyle w:val="Strong"/>
          <w:b w:val="0"/>
        </w:rPr>
        <w:t xml:space="preserve"> </w:t>
      </w:r>
      <w:r w:rsidR="00D36F27" w:rsidRPr="00F748F9">
        <w:rPr>
          <w:rStyle w:val="Strong"/>
          <w:b w:val="0"/>
        </w:rPr>
        <w:t>information on the North Sea workforce and the Annual Survey of Hours and Earnings.</w:t>
      </w:r>
    </w:p>
    <w:p w14:paraId="6149635C" w14:textId="35C87995" w:rsidR="00BA5683" w:rsidRPr="00F748F9" w:rsidRDefault="002F709B" w:rsidP="007C7952">
      <w:pPr>
        <w:pStyle w:val="SGBodytext"/>
        <w:rPr>
          <w:rStyle w:val="Strong"/>
        </w:rPr>
      </w:pPr>
      <w:r>
        <w:rPr>
          <w:rStyle w:val="Strong"/>
        </w:rPr>
        <w:t xml:space="preserve">4.2 </w:t>
      </w:r>
      <w:r w:rsidR="00F50188" w:rsidRPr="00F748F9">
        <w:rPr>
          <w:rStyle w:val="Strong"/>
        </w:rPr>
        <w:t xml:space="preserve">Direct Investment flows with </w:t>
      </w:r>
      <w:r w:rsidR="00915CAB">
        <w:rPr>
          <w:rStyle w:val="Strong"/>
        </w:rPr>
        <w:t>ROW</w:t>
      </w:r>
    </w:p>
    <w:tbl>
      <w:tblPr>
        <w:tblW w:w="7981" w:type="dxa"/>
        <w:tblInd w:w="93" w:type="dxa"/>
        <w:tblLook w:val="04A0" w:firstRow="1" w:lastRow="0" w:firstColumn="1" w:lastColumn="0" w:noHBand="0" w:noVBand="1"/>
      </w:tblPr>
      <w:tblGrid>
        <w:gridCol w:w="5572"/>
        <w:gridCol w:w="2409"/>
      </w:tblGrid>
      <w:tr w:rsidR="00915CAB" w:rsidRPr="00F748F9" w14:paraId="27E53CB3" w14:textId="77777777" w:rsidTr="003006C5">
        <w:trPr>
          <w:trHeight w:val="357"/>
        </w:trPr>
        <w:tc>
          <w:tcPr>
            <w:tcW w:w="5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20988" w14:textId="756C60C5" w:rsidR="00915CAB" w:rsidRPr="001E7EB1" w:rsidRDefault="00915CAB" w:rsidP="007C7952">
            <w:pPr>
              <w:pStyle w:val="SGBodytext"/>
              <w:rPr>
                <w:rStyle w:val="SGBoldCharacter"/>
                <w:sz w:val="20"/>
                <w:szCs w:val="16"/>
              </w:rPr>
            </w:pPr>
            <w:r w:rsidRPr="001E7EB1">
              <w:rPr>
                <w:rStyle w:val="SGBoldCharacter"/>
                <w:sz w:val="20"/>
                <w:szCs w:val="16"/>
              </w:rPr>
              <w:t>Category</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44C06" w14:textId="2C11F5F7" w:rsidR="00915CAB" w:rsidRPr="001E7EB1" w:rsidRDefault="00915CAB" w:rsidP="007C7952">
            <w:pPr>
              <w:pStyle w:val="SGBodytext"/>
              <w:rPr>
                <w:rStyle w:val="SGBoldCharacter"/>
                <w:sz w:val="20"/>
                <w:szCs w:val="16"/>
              </w:rPr>
            </w:pPr>
            <w:r w:rsidRPr="001E7EB1">
              <w:rPr>
                <w:rStyle w:val="SGBoldCharacter"/>
                <w:sz w:val="20"/>
                <w:szCs w:val="16"/>
              </w:rPr>
              <w:t>Apportionment</w:t>
            </w:r>
          </w:p>
        </w:tc>
      </w:tr>
      <w:tr w:rsidR="00915CAB" w:rsidRPr="00F748F9" w14:paraId="7F0FFAF0" w14:textId="77777777" w:rsidTr="003006C5">
        <w:trPr>
          <w:trHeight w:val="264"/>
        </w:trPr>
        <w:tc>
          <w:tcPr>
            <w:tcW w:w="5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56738C" w14:textId="119F91D5" w:rsidR="00915CAB" w:rsidRPr="001E7EB1" w:rsidRDefault="00915CAB" w:rsidP="007C7952">
            <w:pPr>
              <w:pStyle w:val="SGBodytext"/>
              <w:rPr>
                <w:lang w:eastAsia="en-GB"/>
              </w:rPr>
            </w:pPr>
            <w:r w:rsidRPr="001E7EB1">
              <w:rPr>
                <w:lang w:eastAsia="en-GB"/>
              </w:rPr>
              <w:t>Earnings on Direct Investment – Non</w:t>
            </w:r>
            <w:r w:rsidR="003006C5" w:rsidRPr="001E7EB1">
              <w:rPr>
                <w:lang w:eastAsia="en-GB"/>
              </w:rPr>
              <w:t>-</w:t>
            </w:r>
            <w:r w:rsidRPr="001E7EB1">
              <w:rPr>
                <w:lang w:eastAsia="en-GB"/>
              </w:rPr>
              <w:t>banking - Credits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B9781" w14:textId="15A41D2D" w:rsidR="00915CAB" w:rsidRPr="001E7EB1" w:rsidRDefault="00915CAB" w:rsidP="007C7952">
            <w:pPr>
              <w:pStyle w:val="SGBodytext"/>
              <w:rPr>
                <w:lang w:eastAsia="en-GB"/>
              </w:rPr>
            </w:pPr>
            <w:r w:rsidRPr="001E7EB1">
              <w:rPr>
                <w:lang w:eastAsia="en-GB"/>
              </w:rPr>
              <w:t xml:space="preserve">FDI survey </w:t>
            </w:r>
            <w:r w:rsidR="003006C5" w:rsidRPr="001E7EB1">
              <w:rPr>
                <w:lang w:eastAsia="en-GB"/>
              </w:rPr>
              <w:t xml:space="preserve">– Scottish HQ </w:t>
            </w:r>
          </w:p>
        </w:tc>
      </w:tr>
      <w:tr w:rsidR="003006C5" w:rsidRPr="00F748F9" w14:paraId="30FD403E" w14:textId="77777777" w:rsidTr="003006C5">
        <w:trPr>
          <w:trHeight w:val="264"/>
        </w:trPr>
        <w:tc>
          <w:tcPr>
            <w:tcW w:w="5572" w:type="dxa"/>
            <w:tcBorders>
              <w:top w:val="single" w:sz="4" w:space="0" w:color="auto"/>
              <w:left w:val="single" w:sz="4" w:space="0" w:color="auto"/>
              <w:bottom w:val="single" w:sz="4" w:space="0" w:color="auto"/>
              <w:right w:val="single" w:sz="4" w:space="0" w:color="auto"/>
            </w:tcBorders>
            <w:shd w:val="clear" w:color="auto" w:fill="auto"/>
            <w:vAlign w:val="bottom"/>
          </w:tcPr>
          <w:p w14:paraId="46DC3FFA" w14:textId="155424BF" w:rsidR="003006C5" w:rsidRPr="001E7EB1" w:rsidRDefault="003006C5" w:rsidP="007C7952">
            <w:pPr>
              <w:pStyle w:val="SGBodytext"/>
              <w:rPr>
                <w:lang w:eastAsia="en-GB"/>
              </w:rPr>
            </w:pPr>
            <w:r w:rsidRPr="001E7EB1">
              <w:rPr>
                <w:lang w:eastAsia="en-GB"/>
              </w:rPr>
              <w:t xml:space="preserve">Earnings on Direct Investment – Non-banking – Debits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0A8F27F9" w14:textId="17D428F8" w:rsidR="003006C5" w:rsidRPr="001E7EB1" w:rsidRDefault="003006C5" w:rsidP="007C7952">
            <w:pPr>
              <w:pStyle w:val="SGBodytext"/>
              <w:rPr>
                <w:lang w:eastAsia="en-GB"/>
              </w:rPr>
            </w:pPr>
            <w:r w:rsidRPr="001E7EB1">
              <w:rPr>
                <w:lang w:eastAsia="en-GB"/>
              </w:rPr>
              <w:t xml:space="preserve">FDI survey – Scottish local units revenue </w:t>
            </w:r>
          </w:p>
        </w:tc>
      </w:tr>
      <w:tr w:rsidR="00915CAB" w:rsidRPr="00F748F9" w14:paraId="3EB7340B" w14:textId="77777777" w:rsidTr="003006C5">
        <w:trPr>
          <w:trHeight w:val="255"/>
        </w:trPr>
        <w:tc>
          <w:tcPr>
            <w:tcW w:w="5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1AC98B" w14:textId="11DCBF0C" w:rsidR="00915CAB" w:rsidRPr="001E7EB1" w:rsidRDefault="00915CAB" w:rsidP="007C7952">
            <w:pPr>
              <w:pStyle w:val="SGBodytext"/>
              <w:rPr>
                <w:lang w:eastAsia="en-GB"/>
              </w:rPr>
            </w:pPr>
            <w:r w:rsidRPr="001E7EB1">
              <w:rPr>
                <w:lang w:eastAsia="en-GB"/>
              </w:rPr>
              <w:t>Earnings on Direct Investment – Banking - Credits/ Debits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B292D1" w14:textId="5C99DE1D" w:rsidR="00915CAB" w:rsidRPr="001E7EB1" w:rsidRDefault="00915CAB" w:rsidP="007C7952">
            <w:pPr>
              <w:pStyle w:val="SGBodytext"/>
              <w:rPr>
                <w:lang w:eastAsia="en-GB"/>
              </w:rPr>
            </w:pPr>
            <w:r w:rsidRPr="001E7EB1">
              <w:rPr>
                <w:lang w:eastAsia="en-GB"/>
              </w:rPr>
              <w:t xml:space="preserve">banking </w:t>
            </w:r>
            <w:proofErr w:type="spellStart"/>
            <w:r w:rsidRPr="001E7EB1">
              <w:rPr>
                <w:lang w:eastAsia="en-GB"/>
              </w:rPr>
              <w:t>GVA</w:t>
            </w:r>
            <w:proofErr w:type="spellEnd"/>
            <w:r w:rsidRPr="001E7EB1">
              <w:rPr>
                <w:lang w:eastAsia="en-GB"/>
              </w:rPr>
              <w:t xml:space="preserve"> share</w:t>
            </w:r>
          </w:p>
        </w:tc>
      </w:tr>
      <w:tr w:rsidR="003006C5" w:rsidRPr="00F748F9" w14:paraId="4CB485E3" w14:textId="77777777" w:rsidTr="003006C5">
        <w:trPr>
          <w:trHeight w:val="255"/>
        </w:trPr>
        <w:tc>
          <w:tcPr>
            <w:tcW w:w="5572" w:type="dxa"/>
            <w:tcBorders>
              <w:top w:val="single" w:sz="4" w:space="0" w:color="auto"/>
              <w:left w:val="single" w:sz="4" w:space="0" w:color="auto"/>
              <w:bottom w:val="single" w:sz="4" w:space="0" w:color="auto"/>
              <w:right w:val="single" w:sz="4" w:space="0" w:color="auto"/>
            </w:tcBorders>
            <w:shd w:val="clear" w:color="auto" w:fill="auto"/>
            <w:vAlign w:val="bottom"/>
          </w:tcPr>
          <w:p w14:paraId="0D001D02" w14:textId="006A89F8" w:rsidR="003006C5" w:rsidRPr="001E7EB1" w:rsidRDefault="003006C5" w:rsidP="007C7952">
            <w:pPr>
              <w:pStyle w:val="SGBodytext"/>
              <w:rPr>
                <w:lang w:eastAsia="en-GB"/>
              </w:rPr>
            </w:pPr>
            <w:r w:rsidRPr="001E7EB1">
              <w:rPr>
                <w:lang w:eastAsia="en-GB"/>
              </w:rPr>
              <w:t>Earnings on Direct Investment – Oil – Debits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5865993C" w14:textId="17A49195" w:rsidR="003006C5" w:rsidRPr="001E7EB1" w:rsidRDefault="0012645E" w:rsidP="007C7952">
            <w:pPr>
              <w:pStyle w:val="SGBodytext"/>
              <w:rPr>
                <w:lang w:eastAsia="en-GB"/>
              </w:rPr>
            </w:pPr>
            <w:r>
              <w:rPr>
                <w:lang w:eastAsia="en-GB"/>
              </w:rPr>
              <w:t xml:space="preserve">GOS Scottish waters </w:t>
            </w:r>
          </w:p>
        </w:tc>
      </w:tr>
    </w:tbl>
    <w:p w14:paraId="21A0B486" w14:textId="36BCA4C9" w:rsidR="00924C87" w:rsidRPr="00F748F9" w:rsidRDefault="004D059D" w:rsidP="007C7952">
      <w:pPr>
        <w:pStyle w:val="SGBodytext"/>
        <w:rPr>
          <w:rStyle w:val="Strong"/>
          <w:rFonts w:eastAsia="Cambria" w:cs="Times New Roman"/>
          <w:sz w:val="26"/>
          <w:lang w:val="en-US"/>
        </w:rPr>
      </w:pPr>
      <w:r>
        <w:rPr>
          <w:rStyle w:val="Strong"/>
        </w:rPr>
        <w:t xml:space="preserve">4.2 </w:t>
      </w:r>
      <w:r w:rsidR="00924C87" w:rsidRPr="00F748F9">
        <w:rPr>
          <w:rStyle w:val="Strong"/>
        </w:rPr>
        <w:t xml:space="preserve">Direct Investment flows with the </w:t>
      </w:r>
      <w:proofErr w:type="spellStart"/>
      <w:r>
        <w:rPr>
          <w:rStyle w:val="Strong"/>
        </w:rPr>
        <w:t>RUK</w:t>
      </w:r>
      <w:proofErr w:type="spellEnd"/>
    </w:p>
    <w:p w14:paraId="2038868B" w14:textId="4AE14EA8" w:rsidR="00D36F27" w:rsidRPr="00F748F9" w:rsidRDefault="00D36F27" w:rsidP="007C7952">
      <w:pPr>
        <w:pStyle w:val="SGBodytext"/>
      </w:pPr>
      <w:r w:rsidRPr="00F748F9">
        <w:t xml:space="preserve">As explained in Annex A, flows between Scotland and the rest of the UK are calculated by estimating Post Tax </w:t>
      </w:r>
      <w:r w:rsidR="00AF1A5D" w:rsidRPr="00F748F9">
        <w:t>O</w:t>
      </w:r>
      <w:r w:rsidRPr="00F748F9">
        <w:t xml:space="preserve">perating Surplus (PTOS) using Gross Operating Surplus, Net Operating Surplus, tax data and the Inter-Departmental Business </w:t>
      </w:r>
      <w:r w:rsidR="00AF1A5D" w:rsidRPr="00F748F9">
        <w:t>R</w:t>
      </w:r>
      <w:r w:rsidRPr="00F748F9">
        <w:t>egister.</w:t>
      </w:r>
    </w:p>
    <w:p w14:paraId="52ED2FCC" w14:textId="2150E6C7" w:rsidR="003A634B" w:rsidRPr="00F748F9" w:rsidRDefault="004D059D" w:rsidP="007C7952">
      <w:pPr>
        <w:pStyle w:val="SGBodytext"/>
        <w:rPr>
          <w:rStyle w:val="Strong"/>
        </w:rPr>
      </w:pPr>
      <w:r>
        <w:rPr>
          <w:rStyle w:val="Strong"/>
        </w:rPr>
        <w:t xml:space="preserve">4.3 </w:t>
      </w:r>
      <w:r w:rsidR="003A634B" w:rsidRPr="00F748F9">
        <w:rPr>
          <w:rStyle w:val="Strong"/>
        </w:rPr>
        <w:t xml:space="preserve">Portfolio Investment flows with </w:t>
      </w:r>
      <w:r>
        <w:rPr>
          <w:rStyle w:val="Strong"/>
        </w:rPr>
        <w:t>ROW</w:t>
      </w:r>
    </w:p>
    <w:tbl>
      <w:tblPr>
        <w:tblW w:w="9683" w:type="dxa"/>
        <w:tblInd w:w="93" w:type="dxa"/>
        <w:tblLook w:val="04A0" w:firstRow="1" w:lastRow="0" w:firstColumn="1" w:lastColumn="0" w:noHBand="0" w:noVBand="1"/>
      </w:tblPr>
      <w:tblGrid>
        <w:gridCol w:w="4580"/>
        <w:gridCol w:w="1449"/>
        <w:gridCol w:w="3780"/>
      </w:tblGrid>
      <w:tr w:rsidR="00EC728F" w:rsidRPr="00187045" w14:paraId="75C021EB" w14:textId="77777777" w:rsidTr="001E7EB1">
        <w:trPr>
          <w:trHeight w:val="357"/>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C35F8" w14:textId="77777777" w:rsidR="000C0A0E" w:rsidRPr="00187045" w:rsidRDefault="000C0A0E" w:rsidP="007C7952">
            <w:pPr>
              <w:pStyle w:val="SGBodytext"/>
              <w:rPr>
                <w:rStyle w:val="SGBoldCharacter"/>
                <w:sz w:val="20"/>
              </w:rPr>
            </w:pPr>
            <w:r w:rsidRPr="00187045">
              <w:rPr>
                <w:rStyle w:val="SGBoldCharacter"/>
                <w:sz w:val="20"/>
              </w:rPr>
              <w:t>Category</w:t>
            </w:r>
          </w:p>
        </w:tc>
        <w:tc>
          <w:tcPr>
            <w:tcW w:w="1323" w:type="dxa"/>
            <w:tcBorders>
              <w:top w:val="single" w:sz="4" w:space="0" w:color="auto"/>
              <w:left w:val="single" w:sz="4" w:space="0" w:color="auto"/>
              <w:bottom w:val="single" w:sz="4" w:space="0" w:color="auto"/>
              <w:right w:val="single" w:sz="4" w:space="0" w:color="auto"/>
            </w:tcBorders>
            <w:vAlign w:val="bottom"/>
          </w:tcPr>
          <w:p w14:paraId="23BF301B" w14:textId="77777777" w:rsidR="000C0A0E" w:rsidRPr="00187045" w:rsidRDefault="000C0A0E" w:rsidP="007C7952">
            <w:pPr>
              <w:pStyle w:val="SGBodytext"/>
              <w:rPr>
                <w:rStyle w:val="SGBoldCharacter"/>
                <w:sz w:val="20"/>
              </w:rPr>
            </w:pPr>
            <w:r w:rsidRPr="00187045">
              <w:rPr>
                <w:rStyle w:val="SGBoldCharacter"/>
                <w:sz w:val="20"/>
              </w:rPr>
              <w:t>Series Code</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53A72" w14:textId="77777777" w:rsidR="000C0A0E" w:rsidRPr="00187045" w:rsidRDefault="000C0A0E" w:rsidP="007C7952">
            <w:pPr>
              <w:pStyle w:val="SGBodytext"/>
              <w:rPr>
                <w:rStyle w:val="SGBoldCharacter"/>
                <w:sz w:val="20"/>
              </w:rPr>
            </w:pPr>
            <w:r w:rsidRPr="00187045">
              <w:rPr>
                <w:rStyle w:val="SGBoldCharacter"/>
                <w:sz w:val="20"/>
              </w:rPr>
              <w:t>Apportionment</w:t>
            </w:r>
          </w:p>
        </w:tc>
      </w:tr>
      <w:tr w:rsidR="000C0A0E" w:rsidRPr="00187045" w14:paraId="1EB802BE" w14:textId="77777777" w:rsidTr="001E7EB1">
        <w:trPr>
          <w:trHeight w:val="77"/>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4BCEC0A" w14:textId="680A4727" w:rsidR="000C0A0E" w:rsidRPr="007C7952" w:rsidRDefault="000C0A0E" w:rsidP="007C7952">
            <w:pPr>
              <w:pStyle w:val="SGBodytext"/>
              <w:rPr>
                <w:lang w:eastAsia="en-GB"/>
              </w:rPr>
            </w:pPr>
            <w:r w:rsidRPr="007C7952">
              <w:rPr>
                <w:lang w:eastAsia="en-GB"/>
              </w:rPr>
              <w:t>Credits</w:t>
            </w:r>
          </w:p>
        </w:tc>
      </w:tr>
      <w:tr w:rsidR="000C0A0E" w:rsidRPr="00187045" w14:paraId="0FCF333D" w14:textId="77777777" w:rsidTr="001E7EB1">
        <w:trPr>
          <w:trHeight w:val="255"/>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6C0DC45" w14:textId="3121ABEC" w:rsidR="000C0A0E" w:rsidRPr="007C7952" w:rsidRDefault="000C0A0E" w:rsidP="007C7952">
            <w:pPr>
              <w:pStyle w:val="SGBodytext"/>
              <w:rPr>
                <w:lang w:eastAsia="en-GB"/>
              </w:rPr>
            </w:pPr>
            <w:r w:rsidRPr="007C7952">
              <w:rPr>
                <w:lang w:eastAsia="en-GB"/>
              </w:rPr>
              <w:t xml:space="preserve">Equity Securities </w:t>
            </w:r>
          </w:p>
        </w:tc>
      </w:tr>
      <w:tr w:rsidR="00F748F9" w:rsidRPr="00187045" w14:paraId="65017D81" w14:textId="77777777" w:rsidTr="001E7EB1">
        <w:trPr>
          <w:trHeight w:val="255"/>
        </w:trPr>
        <w:tc>
          <w:tcPr>
            <w:tcW w:w="4580" w:type="dxa"/>
            <w:tcBorders>
              <w:top w:val="single" w:sz="4" w:space="0" w:color="auto"/>
              <w:left w:val="single" w:sz="4" w:space="0" w:color="auto"/>
              <w:bottom w:val="single" w:sz="4" w:space="0" w:color="A6A6A6" w:themeColor="background1" w:themeShade="A6"/>
              <w:right w:val="single" w:sz="4" w:space="0" w:color="A6A6A6" w:themeColor="background1" w:themeShade="A6"/>
            </w:tcBorders>
            <w:shd w:val="clear" w:color="auto" w:fill="auto"/>
            <w:vAlign w:val="bottom"/>
          </w:tcPr>
          <w:p w14:paraId="755B876F" w14:textId="3482A117" w:rsidR="000C0A0E" w:rsidRPr="007C7952" w:rsidRDefault="000C0A0E" w:rsidP="007C7952">
            <w:pPr>
              <w:pStyle w:val="SGBodytext"/>
              <w:rPr>
                <w:lang w:eastAsia="en-GB"/>
              </w:rPr>
            </w:pPr>
            <w:r w:rsidRPr="007C7952">
              <w:rPr>
                <w:lang w:eastAsia="en-GB"/>
              </w:rPr>
              <w:t>Earnings on equities – MFIs</w:t>
            </w:r>
          </w:p>
        </w:tc>
        <w:tc>
          <w:tcPr>
            <w:tcW w:w="1323"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53679E51" w14:textId="529C9A7A" w:rsidR="000C0A0E" w:rsidRPr="007C7952" w:rsidRDefault="000C0A0E" w:rsidP="007C7952">
            <w:pPr>
              <w:pStyle w:val="SGBodytext"/>
              <w:rPr>
                <w:lang w:eastAsia="en-GB"/>
              </w:rPr>
            </w:pPr>
            <w:proofErr w:type="spellStart"/>
            <w:r w:rsidRPr="007C7952">
              <w:rPr>
                <w:lang w:eastAsia="en-GB"/>
              </w:rPr>
              <w:t>MT4A</w:t>
            </w:r>
            <w:proofErr w:type="spellEnd"/>
          </w:p>
        </w:tc>
        <w:tc>
          <w:tcPr>
            <w:tcW w:w="3780" w:type="dxa"/>
            <w:tcBorders>
              <w:top w:val="single" w:sz="4" w:space="0" w:color="auto"/>
              <w:left w:val="single" w:sz="4" w:space="0" w:color="A6A6A6" w:themeColor="background1" w:themeShade="A6"/>
              <w:bottom w:val="single" w:sz="4" w:space="0" w:color="A6A6A6" w:themeColor="background1" w:themeShade="A6"/>
              <w:right w:val="single" w:sz="4" w:space="0" w:color="auto"/>
            </w:tcBorders>
            <w:shd w:val="clear" w:color="auto" w:fill="auto"/>
            <w:vAlign w:val="bottom"/>
          </w:tcPr>
          <w:p w14:paraId="7000AD33" w14:textId="704D45D9" w:rsidR="000C0A0E" w:rsidRPr="007C7952" w:rsidRDefault="000C0A0E" w:rsidP="007C7952">
            <w:pPr>
              <w:pStyle w:val="SGBodytext"/>
              <w:rPr>
                <w:lang w:eastAsia="en-GB"/>
              </w:rPr>
            </w:pPr>
            <w:r w:rsidRPr="007C7952">
              <w:rPr>
                <w:lang w:eastAsia="en-GB"/>
              </w:rPr>
              <w:t xml:space="preserve">Banking </w:t>
            </w:r>
            <w:proofErr w:type="spellStart"/>
            <w:r w:rsidRPr="007C7952">
              <w:rPr>
                <w:lang w:eastAsia="en-GB"/>
              </w:rPr>
              <w:t>GVA</w:t>
            </w:r>
            <w:proofErr w:type="spellEnd"/>
            <w:r w:rsidRPr="007C7952">
              <w:rPr>
                <w:lang w:eastAsia="en-GB"/>
              </w:rPr>
              <w:t xml:space="preserve"> share</w:t>
            </w:r>
          </w:p>
        </w:tc>
      </w:tr>
      <w:tr w:rsidR="00F748F9" w:rsidRPr="00187045" w14:paraId="6EC0AD7B" w14:textId="77777777" w:rsidTr="001E7EB1">
        <w:trPr>
          <w:trHeight w:val="255"/>
        </w:trPr>
        <w:tc>
          <w:tcPr>
            <w:tcW w:w="458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bottom"/>
          </w:tcPr>
          <w:p w14:paraId="30433630" w14:textId="21F385CE" w:rsidR="000C0A0E" w:rsidRPr="007C7952" w:rsidRDefault="001C1E39" w:rsidP="007C7952">
            <w:pPr>
              <w:pStyle w:val="SGBodytext"/>
              <w:rPr>
                <w:lang w:eastAsia="en-GB"/>
              </w:rPr>
            </w:pPr>
            <w:r w:rsidRPr="007C7952">
              <w:rPr>
                <w:lang w:eastAsia="en-GB"/>
              </w:rPr>
              <w:t xml:space="preserve">Earnings on equities – Central Government </w:t>
            </w:r>
          </w:p>
        </w:tc>
        <w:tc>
          <w:tcPr>
            <w:tcW w:w="1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D82957F" w14:textId="5988FC49" w:rsidR="000C0A0E" w:rsidRPr="007C7952" w:rsidRDefault="001C1E39" w:rsidP="007C7952">
            <w:pPr>
              <w:pStyle w:val="SGBodytext"/>
              <w:rPr>
                <w:lang w:eastAsia="en-GB"/>
              </w:rPr>
            </w:pPr>
            <w:proofErr w:type="spellStart"/>
            <w:r w:rsidRPr="007C7952">
              <w:rPr>
                <w:lang w:eastAsia="en-GB"/>
              </w:rPr>
              <w:t>MT4B</w:t>
            </w:r>
            <w:proofErr w:type="spellEnd"/>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bottom"/>
          </w:tcPr>
          <w:p w14:paraId="35ADFC9C" w14:textId="2F6AC1C4" w:rsidR="000C0A0E" w:rsidRPr="007C7952" w:rsidRDefault="001C1E39" w:rsidP="007C7952">
            <w:pPr>
              <w:pStyle w:val="SGBodytext"/>
              <w:rPr>
                <w:lang w:eastAsia="en-GB"/>
              </w:rPr>
            </w:pPr>
            <w:r w:rsidRPr="007C7952">
              <w:rPr>
                <w:lang w:eastAsia="en-GB"/>
              </w:rPr>
              <w:t xml:space="preserve">Population share </w:t>
            </w:r>
          </w:p>
        </w:tc>
      </w:tr>
      <w:tr w:rsidR="00F748F9" w:rsidRPr="00187045" w14:paraId="5DD73D72" w14:textId="77777777" w:rsidTr="001E7EB1">
        <w:trPr>
          <w:trHeight w:val="255"/>
        </w:trPr>
        <w:tc>
          <w:tcPr>
            <w:tcW w:w="458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bottom"/>
          </w:tcPr>
          <w:p w14:paraId="6EFC9C70" w14:textId="6BCC2F50" w:rsidR="000C0A0E" w:rsidRPr="007C7952" w:rsidRDefault="001C1E39" w:rsidP="007C7952">
            <w:pPr>
              <w:pStyle w:val="SGBodytext"/>
              <w:rPr>
                <w:lang w:eastAsia="en-GB"/>
              </w:rPr>
            </w:pPr>
            <w:r w:rsidRPr="007C7952">
              <w:rPr>
                <w:lang w:eastAsia="en-GB"/>
              </w:rPr>
              <w:t>Earnings on equities – Insurance and Pensions</w:t>
            </w:r>
          </w:p>
        </w:tc>
        <w:tc>
          <w:tcPr>
            <w:tcW w:w="1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C0A5B1D" w14:textId="62F16275" w:rsidR="000C0A0E" w:rsidRPr="007C7952" w:rsidRDefault="001C1E39" w:rsidP="007C7952">
            <w:pPr>
              <w:pStyle w:val="SGBodytext"/>
              <w:rPr>
                <w:lang w:eastAsia="en-GB"/>
              </w:rPr>
            </w:pPr>
            <w:proofErr w:type="spellStart"/>
            <w:r w:rsidRPr="007C7952">
              <w:rPr>
                <w:lang w:eastAsia="en-GB"/>
              </w:rPr>
              <w:t>MT4C</w:t>
            </w:r>
            <w:proofErr w:type="spellEnd"/>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bottom"/>
          </w:tcPr>
          <w:p w14:paraId="64564D10" w14:textId="2DFC746C" w:rsidR="000C0A0E" w:rsidRPr="007C7952" w:rsidRDefault="001C1E39" w:rsidP="007C7952">
            <w:pPr>
              <w:pStyle w:val="SGBodytext"/>
              <w:rPr>
                <w:lang w:eastAsia="en-GB"/>
              </w:rPr>
            </w:pPr>
            <w:r w:rsidRPr="007C7952">
              <w:rPr>
                <w:lang w:eastAsia="en-GB"/>
              </w:rPr>
              <w:t xml:space="preserve">Insurance and pensions trusts </w:t>
            </w:r>
            <w:proofErr w:type="spellStart"/>
            <w:r w:rsidRPr="007C7952">
              <w:rPr>
                <w:lang w:eastAsia="en-GB"/>
              </w:rPr>
              <w:t>GVA</w:t>
            </w:r>
            <w:proofErr w:type="spellEnd"/>
            <w:r w:rsidRPr="007C7952">
              <w:rPr>
                <w:lang w:eastAsia="en-GB"/>
              </w:rPr>
              <w:t xml:space="preserve"> share </w:t>
            </w:r>
          </w:p>
        </w:tc>
      </w:tr>
      <w:tr w:rsidR="00F748F9" w:rsidRPr="00187045" w14:paraId="1610B001" w14:textId="77777777" w:rsidTr="001E7EB1">
        <w:trPr>
          <w:trHeight w:val="255"/>
        </w:trPr>
        <w:tc>
          <w:tcPr>
            <w:tcW w:w="458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bottom"/>
          </w:tcPr>
          <w:p w14:paraId="3696F2E5" w14:textId="2D35FE80" w:rsidR="000C0A0E" w:rsidRPr="007C7952" w:rsidRDefault="001C1E39" w:rsidP="007C7952">
            <w:pPr>
              <w:pStyle w:val="SGBodytext"/>
              <w:rPr>
                <w:lang w:eastAsia="en-GB"/>
              </w:rPr>
            </w:pPr>
            <w:r w:rsidRPr="007C7952">
              <w:rPr>
                <w:lang w:eastAsia="en-GB"/>
              </w:rPr>
              <w:t>Earnings on equities</w:t>
            </w:r>
            <w:r w:rsidR="00660C33" w:rsidRPr="007C7952">
              <w:rPr>
                <w:lang w:eastAsia="en-GB"/>
              </w:rPr>
              <w:t xml:space="preserve"> – Other financial intermediaries </w:t>
            </w:r>
          </w:p>
        </w:tc>
        <w:tc>
          <w:tcPr>
            <w:tcW w:w="1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57F117E0" w14:textId="1DB08507" w:rsidR="000C0A0E" w:rsidRPr="007C7952" w:rsidRDefault="001C1E39" w:rsidP="007C7952">
            <w:pPr>
              <w:pStyle w:val="SGBodytext"/>
              <w:rPr>
                <w:lang w:eastAsia="en-GB"/>
              </w:rPr>
            </w:pPr>
            <w:proofErr w:type="spellStart"/>
            <w:r w:rsidRPr="007C7952">
              <w:rPr>
                <w:lang w:eastAsia="en-GB"/>
              </w:rPr>
              <w:t>MT4D</w:t>
            </w:r>
            <w:proofErr w:type="spellEnd"/>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bottom"/>
          </w:tcPr>
          <w:p w14:paraId="572DE0AA" w14:textId="577DC8F7" w:rsidR="000C0A0E" w:rsidRPr="007C7952" w:rsidRDefault="001C1E39" w:rsidP="007C7952">
            <w:pPr>
              <w:pStyle w:val="SGBodytext"/>
              <w:rPr>
                <w:lang w:eastAsia="en-GB"/>
              </w:rPr>
            </w:pPr>
            <w:r w:rsidRPr="007C7952">
              <w:rPr>
                <w:lang w:eastAsia="en-GB"/>
              </w:rPr>
              <w:t xml:space="preserve">Financial auxiliary companies </w:t>
            </w:r>
            <w:proofErr w:type="spellStart"/>
            <w:r w:rsidRPr="007C7952">
              <w:rPr>
                <w:lang w:eastAsia="en-GB"/>
              </w:rPr>
              <w:t>GVA</w:t>
            </w:r>
            <w:proofErr w:type="spellEnd"/>
            <w:r w:rsidRPr="007C7952">
              <w:rPr>
                <w:lang w:eastAsia="en-GB"/>
              </w:rPr>
              <w:t xml:space="preserve"> share </w:t>
            </w:r>
          </w:p>
        </w:tc>
      </w:tr>
      <w:tr w:rsidR="00F748F9" w:rsidRPr="00187045" w14:paraId="7F52C1FC" w14:textId="77777777" w:rsidTr="001E7EB1">
        <w:trPr>
          <w:trHeight w:val="255"/>
        </w:trPr>
        <w:tc>
          <w:tcPr>
            <w:tcW w:w="458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bottom"/>
          </w:tcPr>
          <w:p w14:paraId="6C2E7F4B" w14:textId="57E450F0" w:rsidR="000C0A0E" w:rsidRPr="007C7952" w:rsidRDefault="001C1E39" w:rsidP="007C7952">
            <w:pPr>
              <w:pStyle w:val="SGBodytext"/>
              <w:rPr>
                <w:lang w:eastAsia="en-GB"/>
              </w:rPr>
            </w:pPr>
            <w:r w:rsidRPr="007C7952">
              <w:rPr>
                <w:lang w:eastAsia="en-GB"/>
              </w:rPr>
              <w:t>Earnings on equities</w:t>
            </w:r>
            <w:r w:rsidR="00660C33" w:rsidRPr="007C7952">
              <w:rPr>
                <w:lang w:eastAsia="en-GB"/>
              </w:rPr>
              <w:t xml:space="preserve"> – Private non-financial corporations</w:t>
            </w:r>
          </w:p>
        </w:tc>
        <w:tc>
          <w:tcPr>
            <w:tcW w:w="1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4ED6543C" w14:textId="240F621D" w:rsidR="000C0A0E" w:rsidRPr="007C7952" w:rsidRDefault="001C1E39" w:rsidP="007C7952">
            <w:pPr>
              <w:pStyle w:val="SGBodytext"/>
              <w:rPr>
                <w:lang w:eastAsia="en-GB"/>
              </w:rPr>
            </w:pPr>
            <w:proofErr w:type="spellStart"/>
            <w:r w:rsidRPr="007C7952">
              <w:rPr>
                <w:lang w:eastAsia="en-GB"/>
              </w:rPr>
              <w:t>MT4E</w:t>
            </w:r>
            <w:proofErr w:type="spellEnd"/>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bottom"/>
          </w:tcPr>
          <w:p w14:paraId="0F6A6288" w14:textId="5C69F83D" w:rsidR="000C0A0E" w:rsidRPr="007C7952" w:rsidRDefault="001C1E39" w:rsidP="007C7952">
            <w:pPr>
              <w:pStyle w:val="SGBodytext"/>
              <w:rPr>
                <w:lang w:eastAsia="en-GB"/>
              </w:rPr>
            </w:pPr>
            <w:r w:rsidRPr="007C7952">
              <w:rPr>
                <w:lang w:eastAsia="en-GB"/>
              </w:rPr>
              <w:t xml:space="preserve">Non-financial companies </w:t>
            </w:r>
            <w:proofErr w:type="spellStart"/>
            <w:r w:rsidRPr="007C7952">
              <w:rPr>
                <w:lang w:eastAsia="en-GB"/>
              </w:rPr>
              <w:t>GVA</w:t>
            </w:r>
            <w:proofErr w:type="spellEnd"/>
            <w:r w:rsidRPr="007C7952">
              <w:rPr>
                <w:lang w:eastAsia="en-GB"/>
              </w:rPr>
              <w:t xml:space="preserve"> share</w:t>
            </w:r>
          </w:p>
        </w:tc>
      </w:tr>
      <w:tr w:rsidR="00F748F9" w:rsidRPr="00187045" w14:paraId="7DAEB4B1" w14:textId="77777777" w:rsidTr="001E7EB1">
        <w:trPr>
          <w:trHeight w:val="255"/>
        </w:trPr>
        <w:tc>
          <w:tcPr>
            <w:tcW w:w="458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bottom"/>
          </w:tcPr>
          <w:p w14:paraId="62A65CCD" w14:textId="3160125F" w:rsidR="000C0A0E" w:rsidRPr="007C7952" w:rsidRDefault="001C1E39" w:rsidP="007C7952">
            <w:pPr>
              <w:pStyle w:val="SGBodytext"/>
              <w:rPr>
                <w:lang w:eastAsia="en-GB"/>
              </w:rPr>
            </w:pPr>
            <w:r w:rsidRPr="007C7952">
              <w:rPr>
                <w:lang w:eastAsia="en-GB"/>
              </w:rPr>
              <w:t xml:space="preserve">Earnings on investment funds – dividends </w:t>
            </w:r>
          </w:p>
        </w:tc>
        <w:tc>
          <w:tcPr>
            <w:tcW w:w="1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3430CB3" w14:textId="1E336414" w:rsidR="000C0A0E" w:rsidRPr="007C7952" w:rsidRDefault="001C1E39" w:rsidP="007C7952">
            <w:pPr>
              <w:pStyle w:val="SGBodytext"/>
              <w:rPr>
                <w:lang w:eastAsia="en-GB"/>
              </w:rPr>
            </w:pPr>
            <w:proofErr w:type="spellStart"/>
            <w:r w:rsidRPr="007C7952">
              <w:rPr>
                <w:lang w:eastAsia="en-GB"/>
              </w:rPr>
              <w:t>MT3O</w:t>
            </w:r>
            <w:proofErr w:type="spellEnd"/>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bottom"/>
          </w:tcPr>
          <w:p w14:paraId="5E4AFBE7" w14:textId="5A49B5D9" w:rsidR="000C0A0E" w:rsidRPr="007C7952" w:rsidRDefault="001C1E39" w:rsidP="007C7952">
            <w:pPr>
              <w:pStyle w:val="SGBodytext"/>
              <w:rPr>
                <w:lang w:eastAsia="en-GB"/>
              </w:rPr>
            </w:pPr>
            <w:r w:rsidRPr="007C7952">
              <w:rPr>
                <w:lang w:eastAsia="en-GB"/>
              </w:rPr>
              <w:t xml:space="preserve">Population share </w:t>
            </w:r>
          </w:p>
        </w:tc>
      </w:tr>
      <w:tr w:rsidR="00F748F9" w:rsidRPr="00187045" w14:paraId="6A0B2FA5" w14:textId="77777777" w:rsidTr="001E7EB1">
        <w:trPr>
          <w:trHeight w:val="255"/>
        </w:trPr>
        <w:tc>
          <w:tcPr>
            <w:tcW w:w="458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bottom"/>
          </w:tcPr>
          <w:p w14:paraId="5FC7BDB2" w14:textId="5D52FB98" w:rsidR="000C0A0E" w:rsidRPr="007C7952" w:rsidRDefault="001C1E39" w:rsidP="007C7952">
            <w:pPr>
              <w:pStyle w:val="SGBodytext"/>
              <w:rPr>
                <w:lang w:eastAsia="en-GB"/>
              </w:rPr>
            </w:pPr>
            <w:r w:rsidRPr="007C7952">
              <w:rPr>
                <w:lang w:eastAsia="en-GB"/>
              </w:rPr>
              <w:t xml:space="preserve">Earnings on investment funds – re-invested earnings </w:t>
            </w:r>
          </w:p>
        </w:tc>
        <w:tc>
          <w:tcPr>
            <w:tcW w:w="1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0CC55220" w14:textId="7629F396" w:rsidR="000C0A0E" w:rsidRPr="007C7952" w:rsidRDefault="001C1E39" w:rsidP="007C7952">
            <w:pPr>
              <w:pStyle w:val="SGBodytext"/>
              <w:rPr>
                <w:lang w:eastAsia="en-GB"/>
              </w:rPr>
            </w:pPr>
            <w:proofErr w:type="spellStart"/>
            <w:r w:rsidRPr="007C7952">
              <w:rPr>
                <w:lang w:eastAsia="en-GB"/>
              </w:rPr>
              <w:t>MT3P</w:t>
            </w:r>
            <w:proofErr w:type="spellEnd"/>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bottom"/>
          </w:tcPr>
          <w:p w14:paraId="08EC3DCA" w14:textId="100173B2" w:rsidR="000C0A0E" w:rsidRPr="007C7952" w:rsidRDefault="001C1E39" w:rsidP="007C7952">
            <w:pPr>
              <w:pStyle w:val="SGBodytext"/>
              <w:rPr>
                <w:lang w:eastAsia="en-GB"/>
              </w:rPr>
            </w:pPr>
            <w:r w:rsidRPr="007C7952">
              <w:rPr>
                <w:lang w:eastAsia="en-GB"/>
              </w:rPr>
              <w:t>Population share</w:t>
            </w:r>
          </w:p>
        </w:tc>
      </w:tr>
      <w:tr w:rsidR="00F748F9" w:rsidRPr="00187045" w14:paraId="386C2ACA" w14:textId="77777777" w:rsidTr="001E7EB1">
        <w:trPr>
          <w:trHeight w:val="255"/>
        </w:trPr>
        <w:tc>
          <w:tcPr>
            <w:tcW w:w="458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bottom"/>
          </w:tcPr>
          <w:p w14:paraId="77DFFB59" w14:textId="33BFEC6A" w:rsidR="000C0A0E" w:rsidRPr="007C7952" w:rsidRDefault="001C1E39" w:rsidP="007C7952">
            <w:pPr>
              <w:pStyle w:val="SGBodytext"/>
              <w:rPr>
                <w:lang w:eastAsia="en-GB"/>
              </w:rPr>
            </w:pPr>
            <w:r w:rsidRPr="007C7952">
              <w:rPr>
                <w:lang w:eastAsia="en-GB"/>
              </w:rPr>
              <w:t xml:space="preserve">Investment Funds – Other Financial Intermediaries – dividends </w:t>
            </w:r>
          </w:p>
        </w:tc>
        <w:tc>
          <w:tcPr>
            <w:tcW w:w="1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6BA7E44" w14:textId="2A6BB1A0" w:rsidR="000C0A0E" w:rsidRPr="007C7952" w:rsidRDefault="001C1E39" w:rsidP="007C7952">
            <w:pPr>
              <w:pStyle w:val="SGBodytext"/>
              <w:rPr>
                <w:lang w:eastAsia="en-GB"/>
              </w:rPr>
            </w:pPr>
            <w:proofErr w:type="spellStart"/>
            <w:r w:rsidRPr="007C7952">
              <w:rPr>
                <w:lang w:eastAsia="en-GB"/>
              </w:rPr>
              <w:t>MT3Q</w:t>
            </w:r>
            <w:proofErr w:type="spellEnd"/>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bottom"/>
          </w:tcPr>
          <w:p w14:paraId="1B8AD723" w14:textId="0B5EB967" w:rsidR="000C0A0E" w:rsidRPr="007C7952" w:rsidRDefault="001C1E39" w:rsidP="007C7952">
            <w:pPr>
              <w:pStyle w:val="SGBodytext"/>
              <w:rPr>
                <w:lang w:eastAsia="en-GB"/>
              </w:rPr>
            </w:pPr>
            <w:r w:rsidRPr="007C7952">
              <w:rPr>
                <w:lang w:eastAsia="en-GB"/>
              </w:rPr>
              <w:t>Population share</w:t>
            </w:r>
          </w:p>
        </w:tc>
      </w:tr>
      <w:tr w:rsidR="00F748F9" w:rsidRPr="00187045" w14:paraId="3C244C8C" w14:textId="77777777" w:rsidTr="001E7EB1">
        <w:trPr>
          <w:trHeight w:val="255"/>
        </w:trPr>
        <w:tc>
          <w:tcPr>
            <w:tcW w:w="458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bottom"/>
          </w:tcPr>
          <w:p w14:paraId="69CC8C5C" w14:textId="040EB6BE" w:rsidR="000C0A0E" w:rsidRPr="007C7952" w:rsidRDefault="001C1E39" w:rsidP="007C7952">
            <w:pPr>
              <w:pStyle w:val="SGBodytext"/>
              <w:rPr>
                <w:lang w:eastAsia="en-GB"/>
              </w:rPr>
            </w:pPr>
            <w:r w:rsidRPr="007C7952">
              <w:rPr>
                <w:lang w:eastAsia="en-GB"/>
              </w:rPr>
              <w:t>Investment Funds – Other Financial Intermediaries – re-invested earnings</w:t>
            </w:r>
          </w:p>
        </w:tc>
        <w:tc>
          <w:tcPr>
            <w:tcW w:w="1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73186C0" w14:textId="2FE0CA87" w:rsidR="000C0A0E" w:rsidRPr="007C7952" w:rsidRDefault="001C1E39" w:rsidP="007C7952">
            <w:pPr>
              <w:pStyle w:val="SGBodytext"/>
              <w:rPr>
                <w:lang w:eastAsia="en-GB"/>
              </w:rPr>
            </w:pPr>
            <w:proofErr w:type="spellStart"/>
            <w:r w:rsidRPr="007C7952">
              <w:rPr>
                <w:lang w:eastAsia="en-GB"/>
              </w:rPr>
              <w:t>MT3R</w:t>
            </w:r>
            <w:proofErr w:type="spellEnd"/>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bottom"/>
          </w:tcPr>
          <w:p w14:paraId="720B7214" w14:textId="701DB380" w:rsidR="000C0A0E" w:rsidRPr="007C7952" w:rsidRDefault="001C1E39" w:rsidP="007C7952">
            <w:pPr>
              <w:pStyle w:val="SGBodytext"/>
              <w:rPr>
                <w:lang w:eastAsia="en-GB"/>
              </w:rPr>
            </w:pPr>
            <w:r w:rsidRPr="007C7952">
              <w:rPr>
                <w:lang w:eastAsia="en-GB"/>
              </w:rPr>
              <w:t>Population share</w:t>
            </w:r>
          </w:p>
        </w:tc>
      </w:tr>
      <w:tr w:rsidR="00F748F9" w:rsidRPr="00187045" w14:paraId="09502145" w14:textId="77777777" w:rsidTr="001E7EB1">
        <w:trPr>
          <w:trHeight w:val="255"/>
        </w:trPr>
        <w:tc>
          <w:tcPr>
            <w:tcW w:w="458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bottom"/>
          </w:tcPr>
          <w:p w14:paraId="182B92FA" w14:textId="3A91E0B7" w:rsidR="001C1E39" w:rsidRPr="007C7952" w:rsidRDefault="001C1E39" w:rsidP="007C7952">
            <w:pPr>
              <w:pStyle w:val="SGBodytext"/>
              <w:rPr>
                <w:lang w:eastAsia="en-GB"/>
              </w:rPr>
            </w:pPr>
            <w:r w:rsidRPr="007C7952">
              <w:rPr>
                <w:lang w:eastAsia="en-GB"/>
              </w:rPr>
              <w:t>Investment Funds – Households – dividends</w:t>
            </w:r>
          </w:p>
        </w:tc>
        <w:tc>
          <w:tcPr>
            <w:tcW w:w="1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5AB2368B" w14:textId="7A8782D1" w:rsidR="001C1E39" w:rsidRPr="007C7952" w:rsidRDefault="001C1E39" w:rsidP="007C7952">
            <w:pPr>
              <w:pStyle w:val="SGBodytext"/>
              <w:rPr>
                <w:lang w:eastAsia="en-GB"/>
              </w:rPr>
            </w:pPr>
            <w:proofErr w:type="spellStart"/>
            <w:r w:rsidRPr="007C7952">
              <w:rPr>
                <w:lang w:eastAsia="en-GB"/>
              </w:rPr>
              <w:t>MT3S</w:t>
            </w:r>
            <w:proofErr w:type="spellEnd"/>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bottom"/>
          </w:tcPr>
          <w:p w14:paraId="01E35568" w14:textId="2F10CF7A" w:rsidR="001C1E39" w:rsidRPr="007C7952" w:rsidRDefault="001C1E39" w:rsidP="007C7952">
            <w:pPr>
              <w:pStyle w:val="SGBodytext"/>
              <w:rPr>
                <w:lang w:eastAsia="en-GB"/>
              </w:rPr>
            </w:pPr>
            <w:r w:rsidRPr="007C7952">
              <w:rPr>
                <w:lang w:eastAsia="en-GB"/>
              </w:rPr>
              <w:t>Population share</w:t>
            </w:r>
          </w:p>
        </w:tc>
      </w:tr>
      <w:tr w:rsidR="00F748F9" w:rsidRPr="00187045" w14:paraId="2A462012" w14:textId="77777777" w:rsidTr="001E7EB1">
        <w:trPr>
          <w:trHeight w:val="263"/>
        </w:trPr>
        <w:tc>
          <w:tcPr>
            <w:tcW w:w="4580" w:type="dxa"/>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auto"/>
            <w:vAlign w:val="bottom"/>
          </w:tcPr>
          <w:p w14:paraId="4F0A63B0" w14:textId="7FE25289" w:rsidR="001C1E39" w:rsidRPr="007C7952" w:rsidRDefault="001C1E39" w:rsidP="007C7952">
            <w:pPr>
              <w:pStyle w:val="SGBodytext"/>
              <w:rPr>
                <w:lang w:eastAsia="en-GB"/>
              </w:rPr>
            </w:pPr>
            <w:r w:rsidRPr="007C7952">
              <w:rPr>
                <w:lang w:eastAsia="en-GB"/>
              </w:rPr>
              <w:lastRenderedPageBreak/>
              <w:t>Investment Funds – Households – re-invested earnings</w:t>
            </w:r>
          </w:p>
        </w:tc>
        <w:tc>
          <w:tcPr>
            <w:tcW w:w="1323"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bottom"/>
          </w:tcPr>
          <w:p w14:paraId="5C9F29F5" w14:textId="08AE99D8" w:rsidR="001C1E39" w:rsidRPr="007C7952" w:rsidRDefault="001C1E39" w:rsidP="007C7952">
            <w:pPr>
              <w:pStyle w:val="SGBodytext"/>
              <w:rPr>
                <w:lang w:eastAsia="en-GB"/>
              </w:rPr>
            </w:pPr>
            <w:proofErr w:type="spellStart"/>
            <w:r w:rsidRPr="007C7952">
              <w:rPr>
                <w:lang w:eastAsia="en-GB"/>
              </w:rPr>
              <w:t>MT3T</w:t>
            </w:r>
            <w:proofErr w:type="spellEnd"/>
          </w:p>
        </w:tc>
        <w:tc>
          <w:tcPr>
            <w:tcW w:w="3780" w:type="dxa"/>
            <w:tcBorders>
              <w:top w:val="single" w:sz="4" w:space="0" w:color="A6A6A6" w:themeColor="background1" w:themeShade="A6"/>
              <w:left w:val="single" w:sz="4" w:space="0" w:color="A6A6A6" w:themeColor="background1" w:themeShade="A6"/>
              <w:bottom w:val="single" w:sz="4" w:space="0" w:color="auto"/>
              <w:right w:val="single" w:sz="4" w:space="0" w:color="auto"/>
            </w:tcBorders>
            <w:shd w:val="clear" w:color="auto" w:fill="auto"/>
            <w:vAlign w:val="bottom"/>
          </w:tcPr>
          <w:p w14:paraId="61197FBB" w14:textId="62D96D79" w:rsidR="001C1E39" w:rsidRPr="007C7952" w:rsidRDefault="001C1E39" w:rsidP="007C7952">
            <w:pPr>
              <w:pStyle w:val="SGBodytext"/>
              <w:rPr>
                <w:lang w:eastAsia="en-GB"/>
              </w:rPr>
            </w:pPr>
            <w:r w:rsidRPr="007C7952">
              <w:rPr>
                <w:lang w:eastAsia="en-GB"/>
              </w:rPr>
              <w:t>Population share</w:t>
            </w:r>
          </w:p>
        </w:tc>
      </w:tr>
      <w:tr w:rsidR="00F748F9" w:rsidRPr="00187045" w14:paraId="0A84858F" w14:textId="77777777" w:rsidTr="001E7EB1">
        <w:trPr>
          <w:trHeight w:val="255"/>
        </w:trPr>
        <w:tc>
          <w:tcPr>
            <w:tcW w:w="4580" w:type="dxa"/>
            <w:tcBorders>
              <w:top w:val="single" w:sz="4" w:space="0" w:color="auto"/>
              <w:left w:val="single" w:sz="4" w:space="0" w:color="auto"/>
              <w:bottom w:val="single" w:sz="4" w:space="0" w:color="auto"/>
              <w:right w:val="single" w:sz="4" w:space="0" w:color="A6A6A6" w:themeColor="background1" w:themeShade="A6"/>
            </w:tcBorders>
            <w:shd w:val="clear" w:color="auto" w:fill="auto"/>
            <w:vAlign w:val="bottom"/>
          </w:tcPr>
          <w:p w14:paraId="47C5D743" w14:textId="6233DDEC" w:rsidR="001C1E39" w:rsidRPr="007C7952" w:rsidRDefault="00353EF2" w:rsidP="007C7952">
            <w:pPr>
              <w:pStyle w:val="SGBodytext"/>
              <w:rPr>
                <w:lang w:eastAsia="en-GB"/>
              </w:rPr>
            </w:pPr>
            <w:r w:rsidRPr="007C7952">
              <w:rPr>
                <w:lang w:eastAsia="en-GB"/>
              </w:rPr>
              <w:t>Debit Security</w:t>
            </w:r>
          </w:p>
        </w:tc>
        <w:tc>
          <w:tcPr>
            <w:tcW w:w="1323"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vAlign w:val="bottom"/>
          </w:tcPr>
          <w:p w14:paraId="0BDFFF7B" w14:textId="77777777" w:rsidR="001C1E39" w:rsidRPr="007C7952" w:rsidRDefault="001C1E39" w:rsidP="007C7952">
            <w:pPr>
              <w:pStyle w:val="SGBodytext"/>
              <w:rPr>
                <w:lang w:eastAsia="en-GB"/>
              </w:rPr>
            </w:pPr>
          </w:p>
        </w:tc>
        <w:tc>
          <w:tcPr>
            <w:tcW w:w="3780" w:type="dxa"/>
            <w:tcBorders>
              <w:top w:val="single" w:sz="4" w:space="0" w:color="auto"/>
              <w:left w:val="single" w:sz="4" w:space="0" w:color="A6A6A6" w:themeColor="background1" w:themeShade="A6"/>
              <w:bottom w:val="single" w:sz="4" w:space="0" w:color="auto"/>
              <w:right w:val="single" w:sz="4" w:space="0" w:color="auto"/>
            </w:tcBorders>
            <w:shd w:val="clear" w:color="auto" w:fill="auto"/>
            <w:vAlign w:val="bottom"/>
          </w:tcPr>
          <w:p w14:paraId="2B58D8DE" w14:textId="77777777" w:rsidR="001C1E39" w:rsidRPr="007C7952" w:rsidRDefault="001C1E39" w:rsidP="007C7952">
            <w:pPr>
              <w:pStyle w:val="SGBodytext"/>
              <w:rPr>
                <w:lang w:eastAsia="en-GB"/>
              </w:rPr>
            </w:pPr>
          </w:p>
        </w:tc>
      </w:tr>
      <w:tr w:rsidR="00F748F9" w:rsidRPr="00187045" w14:paraId="6A891071" w14:textId="77777777" w:rsidTr="001E7EB1">
        <w:trPr>
          <w:trHeight w:val="255"/>
        </w:trPr>
        <w:tc>
          <w:tcPr>
            <w:tcW w:w="4580" w:type="dxa"/>
            <w:tcBorders>
              <w:top w:val="single" w:sz="4" w:space="0" w:color="auto"/>
              <w:left w:val="single" w:sz="4" w:space="0" w:color="auto"/>
              <w:bottom w:val="single" w:sz="4" w:space="0" w:color="A6A6A6" w:themeColor="background1" w:themeShade="A6"/>
              <w:right w:val="single" w:sz="4" w:space="0" w:color="A6A6A6" w:themeColor="background1" w:themeShade="A6"/>
            </w:tcBorders>
            <w:shd w:val="clear" w:color="auto" w:fill="auto"/>
            <w:vAlign w:val="bottom"/>
          </w:tcPr>
          <w:p w14:paraId="21C117B8" w14:textId="790DA565" w:rsidR="001C1E39" w:rsidRPr="007C7952" w:rsidRDefault="00660C33" w:rsidP="007C7952">
            <w:pPr>
              <w:pStyle w:val="SGBodytext"/>
              <w:rPr>
                <w:lang w:eastAsia="en-GB"/>
              </w:rPr>
            </w:pPr>
            <w:r w:rsidRPr="007C7952">
              <w:rPr>
                <w:lang w:eastAsia="en-GB"/>
              </w:rPr>
              <w:t>Debit Securities - MFIs</w:t>
            </w:r>
          </w:p>
        </w:tc>
        <w:tc>
          <w:tcPr>
            <w:tcW w:w="1323"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07B7C0B8" w14:textId="46BAC54B" w:rsidR="001C1E39" w:rsidRPr="007C7952" w:rsidRDefault="00660C33" w:rsidP="007C7952">
            <w:pPr>
              <w:pStyle w:val="SGBodytext"/>
              <w:rPr>
                <w:lang w:eastAsia="en-GB"/>
              </w:rPr>
            </w:pPr>
            <w:proofErr w:type="spellStart"/>
            <w:r w:rsidRPr="007C7952">
              <w:rPr>
                <w:lang w:eastAsia="en-GB"/>
              </w:rPr>
              <w:t>HBMX</w:t>
            </w:r>
            <w:proofErr w:type="spellEnd"/>
          </w:p>
        </w:tc>
        <w:tc>
          <w:tcPr>
            <w:tcW w:w="3780" w:type="dxa"/>
            <w:tcBorders>
              <w:top w:val="single" w:sz="4" w:space="0" w:color="auto"/>
              <w:left w:val="single" w:sz="4" w:space="0" w:color="A6A6A6" w:themeColor="background1" w:themeShade="A6"/>
              <w:bottom w:val="single" w:sz="4" w:space="0" w:color="A6A6A6" w:themeColor="background1" w:themeShade="A6"/>
              <w:right w:val="single" w:sz="4" w:space="0" w:color="auto"/>
            </w:tcBorders>
            <w:shd w:val="clear" w:color="auto" w:fill="auto"/>
            <w:vAlign w:val="bottom"/>
          </w:tcPr>
          <w:p w14:paraId="2F690246" w14:textId="5437656A" w:rsidR="001C1E39" w:rsidRPr="007C7952" w:rsidRDefault="00C44500" w:rsidP="007C7952">
            <w:pPr>
              <w:pStyle w:val="SGBodytext"/>
              <w:rPr>
                <w:lang w:eastAsia="en-GB"/>
              </w:rPr>
            </w:pPr>
            <w:r w:rsidRPr="007C7952">
              <w:rPr>
                <w:lang w:eastAsia="en-GB"/>
              </w:rPr>
              <w:t xml:space="preserve">Banking share </w:t>
            </w:r>
            <w:proofErr w:type="spellStart"/>
            <w:r w:rsidRPr="007C7952">
              <w:rPr>
                <w:lang w:eastAsia="en-GB"/>
              </w:rPr>
              <w:t>GVA</w:t>
            </w:r>
            <w:proofErr w:type="spellEnd"/>
          </w:p>
        </w:tc>
      </w:tr>
      <w:tr w:rsidR="00F748F9" w:rsidRPr="00187045" w14:paraId="61210220" w14:textId="77777777" w:rsidTr="001E7EB1">
        <w:trPr>
          <w:trHeight w:val="255"/>
        </w:trPr>
        <w:tc>
          <w:tcPr>
            <w:tcW w:w="458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bottom"/>
          </w:tcPr>
          <w:p w14:paraId="0F030C13" w14:textId="67AE9713" w:rsidR="001C1E39" w:rsidRPr="007C7952" w:rsidRDefault="00660C33" w:rsidP="007C7952">
            <w:pPr>
              <w:pStyle w:val="SGBodytext"/>
              <w:rPr>
                <w:lang w:eastAsia="en-GB"/>
              </w:rPr>
            </w:pPr>
            <w:r w:rsidRPr="007C7952">
              <w:rPr>
                <w:lang w:eastAsia="en-GB"/>
              </w:rPr>
              <w:t xml:space="preserve">Debit Securities – Central Government </w:t>
            </w:r>
          </w:p>
        </w:tc>
        <w:tc>
          <w:tcPr>
            <w:tcW w:w="1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02F2E2D6" w14:textId="6D934D82" w:rsidR="001C1E39" w:rsidRPr="007C7952" w:rsidRDefault="00660C33" w:rsidP="007C7952">
            <w:pPr>
              <w:pStyle w:val="SGBodytext"/>
              <w:rPr>
                <w:lang w:eastAsia="en-GB"/>
              </w:rPr>
            </w:pPr>
            <w:proofErr w:type="spellStart"/>
            <w:r w:rsidRPr="007C7952">
              <w:rPr>
                <w:lang w:eastAsia="en-GB"/>
              </w:rPr>
              <w:t>LSPA</w:t>
            </w:r>
            <w:proofErr w:type="spellEnd"/>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bottom"/>
          </w:tcPr>
          <w:p w14:paraId="3AF4EC7B" w14:textId="6B6D1654" w:rsidR="001C1E39" w:rsidRPr="007C7952" w:rsidRDefault="00C44500" w:rsidP="007C7952">
            <w:pPr>
              <w:pStyle w:val="SGBodytext"/>
              <w:rPr>
                <w:lang w:eastAsia="en-GB"/>
              </w:rPr>
            </w:pPr>
            <w:r w:rsidRPr="007C7952">
              <w:rPr>
                <w:lang w:eastAsia="en-GB"/>
              </w:rPr>
              <w:t xml:space="preserve">Population share </w:t>
            </w:r>
          </w:p>
        </w:tc>
      </w:tr>
      <w:tr w:rsidR="003D6CF1" w:rsidRPr="00187045" w14:paraId="6F87BAA2" w14:textId="77777777" w:rsidTr="001E7EB1">
        <w:trPr>
          <w:trHeight w:val="255"/>
        </w:trPr>
        <w:tc>
          <w:tcPr>
            <w:tcW w:w="458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bottom"/>
          </w:tcPr>
          <w:p w14:paraId="7B8131FC" w14:textId="060ED31C" w:rsidR="00C44500" w:rsidRPr="007C7952" w:rsidRDefault="00C44500" w:rsidP="007C7952">
            <w:pPr>
              <w:pStyle w:val="SGBodytext"/>
              <w:rPr>
                <w:lang w:eastAsia="en-GB"/>
              </w:rPr>
            </w:pPr>
            <w:r w:rsidRPr="007C7952">
              <w:rPr>
                <w:lang w:eastAsia="en-GB"/>
              </w:rPr>
              <w:t xml:space="preserve">Debit Securities – Other Financial corporations  </w:t>
            </w:r>
          </w:p>
        </w:tc>
        <w:tc>
          <w:tcPr>
            <w:tcW w:w="1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66787D6" w14:textId="029EECE9" w:rsidR="00C44500" w:rsidRPr="007C7952" w:rsidRDefault="00C44500" w:rsidP="007C7952">
            <w:pPr>
              <w:pStyle w:val="SGBodytext"/>
              <w:rPr>
                <w:lang w:eastAsia="en-GB"/>
              </w:rPr>
            </w:pPr>
            <w:proofErr w:type="spellStart"/>
            <w:r w:rsidRPr="007C7952">
              <w:rPr>
                <w:lang w:eastAsia="en-GB"/>
              </w:rPr>
              <w:t>NHQV</w:t>
            </w:r>
            <w:proofErr w:type="spellEnd"/>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bottom"/>
          </w:tcPr>
          <w:p w14:paraId="6CD2D6CF" w14:textId="662E44E8" w:rsidR="00C44500" w:rsidRPr="007C7952" w:rsidRDefault="00C44500" w:rsidP="007C7952">
            <w:pPr>
              <w:pStyle w:val="SGBodytext"/>
              <w:rPr>
                <w:lang w:eastAsia="en-GB"/>
              </w:rPr>
            </w:pPr>
            <w:r w:rsidRPr="007C7952">
              <w:rPr>
                <w:lang w:eastAsia="en-GB"/>
              </w:rPr>
              <w:t xml:space="preserve">Financial auxiliary companies </w:t>
            </w:r>
            <w:proofErr w:type="spellStart"/>
            <w:r w:rsidRPr="007C7952">
              <w:rPr>
                <w:lang w:eastAsia="en-GB"/>
              </w:rPr>
              <w:t>GVA</w:t>
            </w:r>
            <w:proofErr w:type="spellEnd"/>
            <w:r w:rsidRPr="007C7952">
              <w:rPr>
                <w:lang w:eastAsia="en-GB"/>
              </w:rPr>
              <w:t xml:space="preserve"> share </w:t>
            </w:r>
          </w:p>
        </w:tc>
      </w:tr>
      <w:tr w:rsidR="003D6CF1" w:rsidRPr="00187045" w14:paraId="6AC1410C" w14:textId="77777777" w:rsidTr="001E7EB1">
        <w:trPr>
          <w:trHeight w:val="255"/>
        </w:trPr>
        <w:tc>
          <w:tcPr>
            <w:tcW w:w="458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bottom"/>
          </w:tcPr>
          <w:p w14:paraId="239F72A8" w14:textId="4FD11184" w:rsidR="00C44500" w:rsidRPr="007C7952" w:rsidRDefault="00C44500" w:rsidP="007C7952">
            <w:pPr>
              <w:pStyle w:val="SGBodytext"/>
              <w:rPr>
                <w:lang w:eastAsia="en-GB"/>
              </w:rPr>
            </w:pPr>
            <w:r w:rsidRPr="007C7952">
              <w:rPr>
                <w:lang w:eastAsia="en-GB"/>
              </w:rPr>
              <w:t xml:space="preserve">Long term debt securities – private non-financial corporations  </w:t>
            </w:r>
          </w:p>
        </w:tc>
        <w:tc>
          <w:tcPr>
            <w:tcW w:w="1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36FE61BC" w14:textId="4B774F42" w:rsidR="00C44500" w:rsidRPr="007C7952" w:rsidRDefault="00C44500" w:rsidP="007C7952">
            <w:pPr>
              <w:pStyle w:val="SGBodytext"/>
              <w:rPr>
                <w:lang w:eastAsia="en-GB"/>
              </w:rPr>
            </w:pPr>
            <w:proofErr w:type="spellStart"/>
            <w:r w:rsidRPr="007C7952">
              <w:rPr>
                <w:lang w:eastAsia="en-GB"/>
              </w:rPr>
              <w:t>HGBX</w:t>
            </w:r>
            <w:proofErr w:type="spellEnd"/>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bottom"/>
          </w:tcPr>
          <w:p w14:paraId="57F846CE" w14:textId="47E16BF8" w:rsidR="00C44500" w:rsidRPr="007C7952" w:rsidRDefault="00C44500" w:rsidP="007C7952">
            <w:pPr>
              <w:pStyle w:val="SGBodytext"/>
              <w:rPr>
                <w:lang w:eastAsia="en-GB"/>
              </w:rPr>
            </w:pPr>
            <w:r w:rsidRPr="007C7952">
              <w:rPr>
                <w:lang w:eastAsia="en-GB"/>
              </w:rPr>
              <w:t xml:space="preserve">Non-financial company </w:t>
            </w:r>
            <w:proofErr w:type="spellStart"/>
            <w:r w:rsidRPr="007C7952">
              <w:rPr>
                <w:lang w:eastAsia="en-GB"/>
              </w:rPr>
              <w:t>GVA</w:t>
            </w:r>
            <w:proofErr w:type="spellEnd"/>
          </w:p>
        </w:tc>
      </w:tr>
      <w:tr w:rsidR="003D6CF1" w:rsidRPr="00187045" w14:paraId="1CD31C7C" w14:textId="77777777" w:rsidTr="001E7EB1">
        <w:trPr>
          <w:trHeight w:val="255"/>
        </w:trPr>
        <w:tc>
          <w:tcPr>
            <w:tcW w:w="458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bottom"/>
          </w:tcPr>
          <w:p w14:paraId="3994E1E3" w14:textId="63F93F1E" w:rsidR="00C44500" w:rsidRPr="007C7952" w:rsidRDefault="00C44500" w:rsidP="007C7952">
            <w:pPr>
              <w:pStyle w:val="SGBodytext"/>
              <w:rPr>
                <w:lang w:eastAsia="en-GB"/>
              </w:rPr>
            </w:pPr>
            <w:r w:rsidRPr="007C7952">
              <w:rPr>
                <w:lang w:eastAsia="en-GB"/>
              </w:rPr>
              <w:t xml:space="preserve">Long term debt securities - MFIs  </w:t>
            </w:r>
          </w:p>
        </w:tc>
        <w:tc>
          <w:tcPr>
            <w:tcW w:w="1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FAA89EC" w14:textId="59602138" w:rsidR="00C44500" w:rsidRPr="007C7952" w:rsidRDefault="00C44500" w:rsidP="007C7952">
            <w:pPr>
              <w:pStyle w:val="SGBodytext"/>
              <w:rPr>
                <w:lang w:eastAsia="en-GB"/>
              </w:rPr>
            </w:pPr>
            <w:proofErr w:type="spellStart"/>
            <w:r w:rsidRPr="007C7952">
              <w:rPr>
                <w:lang w:eastAsia="en-GB"/>
              </w:rPr>
              <w:t>HPCQ</w:t>
            </w:r>
            <w:proofErr w:type="spellEnd"/>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bottom"/>
          </w:tcPr>
          <w:p w14:paraId="6C79EF02" w14:textId="1A3DC72F" w:rsidR="00C44500" w:rsidRPr="007C7952" w:rsidRDefault="00C44500" w:rsidP="007C7952">
            <w:pPr>
              <w:pStyle w:val="SGBodytext"/>
              <w:rPr>
                <w:lang w:eastAsia="en-GB"/>
              </w:rPr>
            </w:pPr>
            <w:r w:rsidRPr="007C7952">
              <w:rPr>
                <w:lang w:eastAsia="en-GB"/>
              </w:rPr>
              <w:t xml:space="preserve">Banking share </w:t>
            </w:r>
            <w:proofErr w:type="spellStart"/>
            <w:r w:rsidRPr="007C7952">
              <w:rPr>
                <w:lang w:eastAsia="en-GB"/>
              </w:rPr>
              <w:t>GVA</w:t>
            </w:r>
            <w:proofErr w:type="spellEnd"/>
          </w:p>
        </w:tc>
      </w:tr>
      <w:tr w:rsidR="003D6CF1" w:rsidRPr="00187045" w14:paraId="0C824A03" w14:textId="77777777" w:rsidTr="001E7EB1">
        <w:trPr>
          <w:trHeight w:val="255"/>
        </w:trPr>
        <w:tc>
          <w:tcPr>
            <w:tcW w:w="458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bottom"/>
          </w:tcPr>
          <w:p w14:paraId="2F6DBD76" w14:textId="6F3EB458" w:rsidR="00C44500" w:rsidRPr="007C7952" w:rsidRDefault="00C44500" w:rsidP="007C7952">
            <w:pPr>
              <w:pStyle w:val="SGBodytext"/>
              <w:rPr>
                <w:lang w:eastAsia="en-GB"/>
              </w:rPr>
            </w:pPr>
            <w:r w:rsidRPr="007C7952">
              <w:rPr>
                <w:lang w:eastAsia="en-GB"/>
              </w:rPr>
              <w:t xml:space="preserve">Long term debt securities – Central Government </w:t>
            </w:r>
          </w:p>
        </w:tc>
        <w:tc>
          <w:tcPr>
            <w:tcW w:w="1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00A1B15" w14:textId="5A15ACBC" w:rsidR="00C44500" w:rsidRPr="007C7952" w:rsidRDefault="00C44500" w:rsidP="007C7952">
            <w:pPr>
              <w:pStyle w:val="SGBodytext"/>
              <w:rPr>
                <w:lang w:eastAsia="en-GB"/>
              </w:rPr>
            </w:pPr>
            <w:proofErr w:type="spellStart"/>
            <w:r w:rsidRPr="007C7952">
              <w:rPr>
                <w:lang w:eastAsia="en-GB"/>
              </w:rPr>
              <w:t>HF6Q</w:t>
            </w:r>
            <w:proofErr w:type="spellEnd"/>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bottom"/>
          </w:tcPr>
          <w:p w14:paraId="3EBDA57C" w14:textId="596714C3" w:rsidR="00C44500" w:rsidRPr="007C7952" w:rsidRDefault="00C44500" w:rsidP="007C7952">
            <w:pPr>
              <w:pStyle w:val="SGBodytext"/>
              <w:rPr>
                <w:lang w:eastAsia="en-GB"/>
              </w:rPr>
            </w:pPr>
            <w:r w:rsidRPr="007C7952">
              <w:rPr>
                <w:lang w:eastAsia="en-GB"/>
              </w:rPr>
              <w:t>Population share</w:t>
            </w:r>
          </w:p>
        </w:tc>
      </w:tr>
      <w:tr w:rsidR="003D6CF1" w:rsidRPr="00187045" w14:paraId="648AB67E" w14:textId="77777777" w:rsidTr="001E7EB1">
        <w:trPr>
          <w:trHeight w:val="255"/>
        </w:trPr>
        <w:tc>
          <w:tcPr>
            <w:tcW w:w="458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bottom"/>
          </w:tcPr>
          <w:p w14:paraId="492D04D2" w14:textId="5296AB67" w:rsidR="00C44500" w:rsidRPr="007C7952" w:rsidRDefault="00C44500" w:rsidP="007C7952">
            <w:pPr>
              <w:pStyle w:val="SGBodytext"/>
              <w:rPr>
                <w:lang w:eastAsia="en-GB"/>
              </w:rPr>
            </w:pPr>
            <w:r w:rsidRPr="007C7952">
              <w:rPr>
                <w:lang w:eastAsia="en-GB"/>
              </w:rPr>
              <w:t xml:space="preserve">Long term debt securities – </w:t>
            </w:r>
          </w:p>
          <w:p w14:paraId="1B64707F" w14:textId="24E31910" w:rsidR="00C44500" w:rsidRPr="007C7952" w:rsidRDefault="00C44500" w:rsidP="007C7952">
            <w:pPr>
              <w:pStyle w:val="SGBodytext"/>
              <w:rPr>
                <w:lang w:eastAsia="en-GB"/>
              </w:rPr>
            </w:pPr>
            <w:r w:rsidRPr="007C7952">
              <w:rPr>
                <w:lang w:eastAsia="en-GB"/>
              </w:rPr>
              <w:t xml:space="preserve">Insurance and pension funds </w:t>
            </w:r>
          </w:p>
        </w:tc>
        <w:tc>
          <w:tcPr>
            <w:tcW w:w="1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773C7BDE" w14:textId="605C12B1" w:rsidR="00C44500" w:rsidRPr="007C7952" w:rsidRDefault="00C44500" w:rsidP="007C7952">
            <w:pPr>
              <w:pStyle w:val="SGBodytext"/>
              <w:rPr>
                <w:lang w:eastAsia="en-GB"/>
              </w:rPr>
            </w:pPr>
            <w:proofErr w:type="spellStart"/>
            <w:r w:rsidRPr="007C7952">
              <w:rPr>
                <w:lang w:eastAsia="en-GB"/>
              </w:rPr>
              <w:t>CGOZ</w:t>
            </w:r>
            <w:proofErr w:type="spellEnd"/>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bottom"/>
          </w:tcPr>
          <w:p w14:paraId="6668FBA4" w14:textId="30617616" w:rsidR="00C44500" w:rsidRPr="007C7952" w:rsidRDefault="00C44500" w:rsidP="007C7952">
            <w:pPr>
              <w:pStyle w:val="SGBodytext"/>
              <w:rPr>
                <w:lang w:eastAsia="en-GB"/>
              </w:rPr>
            </w:pPr>
            <w:r w:rsidRPr="007C7952">
              <w:rPr>
                <w:lang w:eastAsia="en-GB"/>
              </w:rPr>
              <w:t xml:space="preserve">Insurance and pensions trusts </w:t>
            </w:r>
            <w:proofErr w:type="spellStart"/>
            <w:r w:rsidRPr="007C7952">
              <w:rPr>
                <w:lang w:eastAsia="en-GB"/>
              </w:rPr>
              <w:t>GVA</w:t>
            </w:r>
            <w:proofErr w:type="spellEnd"/>
            <w:r w:rsidRPr="007C7952">
              <w:rPr>
                <w:lang w:eastAsia="en-GB"/>
              </w:rPr>
              <w:t xml:space="preserve"> share</w:t>
            </w:r>
          </w:p>
        </w:tc>
      </w:tr>
      <w:tr w:rsidR="003D6CF1" w:rsidRPr="00187045" w14:paraId="06CBB1E7" w14:textId="77777777" w:rsidTr="001E7EB1">
        <w:trPr>
          <w:trHeight w:val="255"/>
        </w:trPr>
        <w:tc>
          <w:tcPr>
            <w:tcW w:w="458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bottom"/>
          </w:tcPr>
          <w:p w14:paraId="07CE09A7" w14:textId="38AC7C4B" w:rsidR="00C44500" w:rsidRPr="007C7952" w:rsidRDefault="00C44500" w:rsidP="007C7952">
            <w:pPr>
              <w:pStyle w:val="SGBodytext"/>
              <w:rPr>
                <w:lang w:eastAsia="en-GB"/>
              </w:rPr>
            </w:pPr>
            <w:r w:rsidRPr="007C7952">
              <w:rPr>
                <w:lang w:eastAsia="en-GB"/>
              </w:rPr>
              <w:t xml:space="preserve">Long term debt securities – Other financial corporations  </w:t>
            </w:r>
          </w:p>
        </w:tc>
        <w:tc>
          <w:tcPr>
            <w:tcW w:w="1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06550764" w14:textId="0E4B4DA6" w:rsidR="00C44500" w:rsidRPr="007C7952" w:rsidRDefault="00C44500" w:rsidP="007C7952">
            <w:pPr>
              <w:pStyle w:val="SGBodytext"/>
              <w:rPr>
                <w:lang w:eastAsia="en-GB"/>
              </w:rPr>
            </w:pPr>
            <w:proofErr w:type="spellStart"/>
            <w:r w:rsidRPr="007C7952">
              <w:rPr>
                <w:lang w:eastAsia="en-GB"/>
              </w:rPr>
              <w:t>CGPA</w:t>
            </w:r>
            <w:proofErr w:type="spellEnd"/>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bottom"/>
          </w:tcPr>
          <w:p w14:paraId="070931E4" w14:textId="630872AE" w:rsidR="00C44500" w:rsidRPr="007C7952" w:rsidRDefault="00C44500" w:rsidP="007C7952">
            <w:pPr>
              <w:pStyle w:val="SGBodytext"/>
              <w:rPr>
                <w:lang w:eastAsia="en-GB"/>
              </w:rPr>
            </w:pPr>
            <w:r w:rsidRPr="007C7952">
              <w:rPr>
                <w:lang w:eastAsia="en-GB"/>
              </w:rPr>
              <w:t xml:space="preserve">Financial auxiliary companies </w:t>
            </w:r>
            <w:proofErr w:type="spellStart"/>
            <w:r w:rsidRPr="007C7952">
              <w:rPr>
                <w:lang w:eastAsia="en-GB"/>
              </w:rPr>
              <w:t>GVA</w:t>
            </w:r>
            <w:proofErr w:type="spellEnd"/>
            <w:r w:rsidRPr="007C7952">
              <w:rPr>
                <w:lang w:eastAsia="en-GB"/>
              </w:rPr>
              <w:t xml:space="preserve"> share</w:t>
            </w:r>
          </w:p>
        </w:tc>
      </w:tr>
      <w:tr w:rsidR="003D6CF1" w:rsidRPr="00187045" w14:paraId="27EFBFB1" w14:textId="77777777" w:rsidTr="001E7EB1">
        <w:trPr>
          <w:trHeight w:val="255"/>
        </w:trPr>
        <w:tc>
          <w:tcPr>
            <w:tcW w:w="458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bottom"/>
          </w:tcPr>
          <w:p w14:paraId="28BAF481" w14:textId="58BCC422" w:rsidR="00C44500" w:rsidRPr="007C7952" w:rsidRDefault="00C44500" w:rsidP="007C7952">
            <w:pPr>
              <w:pStyle w:val="SGBodytext"/>
              <w:rPr>
                <w:lang w:eastAsia="en-GB"/>
              </w:rPr>
            </w:pPr>
            <w:r w:rsidRPr="007C7952">
              <w:rPr>
                <w:lang w:eastAsia="en-GB"/>
              </w:rPr>
              <w:t>Long term debt securities – Private non-financial corporations</w:t>
            </w:r>
          </w:p>
        </w:tc>
        <w:tc>
          <w:tcPr>
            <w:tcW w:w="1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742BD20" w14:textId="60C2DDE8" w:rsidR="00C44500" w:rsidRPr="007C7952" w:rsidRDefault="00C44500" w:rsidP="007C7952">
            <w:pPr>
              <w:pStyle w:val="SGBodytext"/>
              <w:rPr>
                <w:lang w:eastAsia="en-GB"/>
              </w:rPr>
            </w:pPr>
            <w:proofErr w:type="spellStart"/>
            <w:r w:rsidRPr="007C7952">
              <w:rPr>
                <w:lang w:eastAsia="en-GB"/>
              </w:rPr>
              <w:t>EGNF</w:t>
            </w:r>
            <w:proofErr w:type="spellEnd"/>
          </w:p>
        </w:tc>
        <w:tc>
          <w:tcPr>
            <w:tcW w:w="3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bottom"/>
          </w:tcPr>
          <w:p w14:paraId="465E3A4F" w14:textId="7B1B082B" w:rsidR="00C44500" w:rsidRPr="007C7952" w:rsidRDefault="00C44500" w:rsidP="007C7952">
            <w:pPr>
              <w:pStyle w:val="SGBodytext"/>
              <w:rPr>
                <w:lang w:eastAsia="en-GB"/>
              </w:rPr>
            </w:pPr>
            <w:r w:rsidRPr="007C7952">
              <w:rPr>
                <w:lang w:eastAsia="en-GB"/>
              </w:rPr>
              <w:t xml:space="preserve">Non-financial companies </w:t>
            </w:r>
            <w:proofErr w:type="spellStart"/>
            <w:r w:rsidRPr="007C7952">
              <w:rPr>
                <w:lang w:eastAsia="en-GB"/>
              </w:rPr>
              <w:t>GVA</w:t>
            </w:r>
            <w:proofErr w:type="spellEnd"/>
            <w:r w:rsidRPr="007C7952">
              <w:rPr>
                <w:lang w:eastAsia="en-GB"/>
              </w:rPr>
              <w:t xml:space="preserve"> share</w:t>
            </w:r>
          </w:p>
        </w:tc>
      </w:tr>
      <w:tr w:rsidR="003D6CF1" w:rsidRPr="00187045" w14:paraId="62B84DFF" w14:textId="77777777" w:rsidTr="001E7EB1">
        <w:trPr>
          <w:trHeight w:val="255"/>
        </w:trPr>
        <w:tc>
          <w:tcPr>
            <w:tcW w:w="4580" w:type="dxa"/>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auto"/>
            <w:vAlign w:val="bottom"/>
          </w:tcPr>
          <w:p w14:paraId="07DF1BBB" w14:textId="71B31549" w:rsidR="00C44500" w:rsidRPr="007C7952" w:rsidRDefault="00C44500" w:rsidP="007C7952">
            <w:pPr>
              <w:pStyle w:val="SGBodytext"/>
              <w:rPr>
                <w:lang w:eastAsia="en-GB"/>
              </w:rPr>
            </w:pPr>
            <w:r w:rsidRPr="007C7952">
              <w:rPr>
                <w:lang w:eastAsia="en-GB"/>
              </w:rPr>
              <w:t>Long term debt securities – household sector</w:t>
            </w:r>
          </w:p>
        </w:tc>
        <w:tc>
          <w:tcPr>
            <w:tcW w:w="1323"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bottom"/>
          </w:tcPr>
          <w:p w14:paraId="15379BD2" w14:textId="549E5C2E" w:rsidR="00C44500" w:rsidRPr="007C7952" w:rsidRDefault="00C44500" w:rsidP="007C7952">
            <w:pPr>
              <w:pStyle w:val="SGBodytext"/>
              <w:rPr>
                <w:lang w:eastAsia="en-GB"/>
              </w:rPr>
            </w:pPr>
            <w:proofErr w:type="spellStart"/>
            <w:r w:rsidRPr="007C7952">
              <w:rPr>
                <w:lang w:eastAsia="en-GB"/>
              </w:rPr>
              <w:t>HEOH</w:t>
            </w:r>
            <w:proofErr w:type="spellEnd"/>
          </w:p>
        </w:tc>
        <w:tc>
          <w:tcPr>
            <w:tcW w:w="3780" w:type="dxa"/>
            <w:tcBorders>
              <w:top w:val="single" w:sz="4" w:space="0" w:color="A6A6A6" w:themeColor="background1" w:themeShade="A6"/>
              <w:left w:val="single" w:sz="4" w:space="0" w:color="A6A6A6" w:themeColor="background1" w:themeShade="A6"/>
              <w:bottom w:val="single" w:sz="4" w:space="0" w:color="auto"/>
              <w:right w:val="single" w:sz="4" w:space="0" w:color="auto"/>
            </w:tcBorders>
            <w:shd w:val="clear" w:color="auto" w:fill="auto"/>
            <w:vAlign w:val="bottom"/>
          </w:tcPr>
          <w:p w14:paraId="11617453" w14:textId="208301B8" w:rsidR="00C44500" w:rsidRPr="007C7952" w:rsidRDefault="00C44500" w:rsidP="007C7952">
            <w:pPr>
              <w:pStyle w:val="SGBodytext"/>
              <w:rPr>
                <w:lang w:eastAsia="en-GB"/>
              </w:rPr>
            </w:pPr>
            <w:r w:rsidRPr="007C7952">
              <w:rPr>
                <w:lang w:eastAsia="en-GB"/>
              </w:rPr>
              <w:t>Population share</w:t>
            </w:r>
          </w:p>
        </w:tc>
      </w:tr>
      <w:tr w:rsidR="00EF48A0" w:rsidRPr="00187045" w14:paraId="79436FEF" w14:textId="77777777" w:rsidTr="001E7EB1">
        <w:trPr>
          <w:trHeight w:val="255"/>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DCD0CE" w14:textId="2CEC4412" w:rsidR="00EF48A0" w:rsidRPr="007C7952" w:rsidRDefault="00EF48A0" w:rsidP="007C7952">
            <w:pPr>
              <w:pStyle w:val="SGBodytext"/>
              <w:rPr>
                <w:lang w:eastAsia="en-GB"/>
              </w:rPr>
            </w:pPr>
            <w:r w:rsidRPr="007C7952">
              <w:rPr>
                <w:lang w:eastAsia="en-GB"/>
              </w:rPr>
              <w:t xml:space="preserve">Debits </w:t>
            </w:r>
          </w:p>
        </w:tc>
      </w:tr>
      <w:tr w:rsidR="00EF48A0" w:rsidRPr="00187045" w14:paraId="58992C5D" w14:textId="77777777" w:rsidTr="001E7EB1">
        <w:trPr>
          <w:trHeight w:val="255"/>
        </w:trPr>
        <w:tc>
          <w:tcPr>
            <w:tcW w:w="968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B1F1E2" w14:textId="19044AE2" w:rsidR="00EF48A0" w:rsidRPr="007C7952" w:rsidRDefault="00EF48A0" w:rsidP="007C7952">
            <w:pPr>
              <w:pStyle w:val="SGBodytext"/>
              <w:rPr>
                <w:lang w:eastAsia="en-GB"/>
              </w:rPr>
            </w:pPr>
            <w:r w:rsidRPr="007C7952">
              <w:rPr>
                <w:lang w:eastAsia="en-GB"/>
              </w:rPr>
              <w:t xml:space="preserve">Equity Securities </w:t>
            </w:r>
          </w:p>
        </w:tc>
      </w:tr>
      <w:tr w:rsidR="00F748F9" w:rsidRPr="00187045" w14:paraId="79F1B903" w14:textId="77777777" w:rsidTr="001E7EB1">
        <w:trPr>
          <w:trHeight w:val="255"/>
        </w:trPr>
        <w:tc>
          <w:tcPr>
            <w:tcW w:w="4580" w:type="dxa"/>
            <w:tcBorders>
              <w:top w:val="single" w:sz="4" w:space="0" w:color="auto"/>
              <w:left w:val="single" w:sz="4" w:space="0" w:color="auto"/>
              <w:bottom w:val="single" w:sz="4" w:space="0" w:color="808080" w:themeColor="background1" w:themeShade="80"/>
              <w:right w:val="single" w:sz="4" w:space="0" w:color="808080" w:themeColor="background1" w:themeShade="80"/>
            </w:tcBorders>
            <w:shd w:val="clear" w:color="auto" w:fill="auto"/>
            <w:vAlign w:val="bottom"/>
          </w:tcPr>
          <w:p w14:paraId="453354E8" w14:textId="52F8A6D8" w:rsidR="000733DC" w:rsidRPr="007C7952" w:rsidRDefault="00EF48A0" w:rsidP="007C7952">
            <w:pPr>
              <w:pStyle w:val="SGBodytext"/>
              <w:rPr>
                <w:lang w:eastAsia="en-GB"/>
              </w:rPr>
            </w:pPr>
            <w:r w:rsidRPr="007C7952">
              <w:rPr>
                <w:lang w:eastAsia="en-GB"/>
              </w:rPr>
              <w:t>Earnings in equities – MFIs</w:t>
            </w:r>
          </w:p>
        </w:tc>
        <w:tc>
          <w:tcPr>
            <w:tcW w:w="1323"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5D4D2C89" w14:textId="6B2AB5F8" w:rsidR="000733DC" w:rsidRPr="007C7952" w:rsidRDefault="00EF48A0" w:rsidP="007C7952">
            <w:pPr>
              <w:pStyle w:val="SGBodytext"/>
              <w:rPr>
                <w:lang w:eastAsia="en-GB"/>
              </w:rPr>
            </w:pPr>
            <w:proofErr w:type="spellStart"/>
            <w:r w:rsidRPr="007C7952">
              <w:rPr>
                <w:lang w:eastAsia="en-GB"/>
              </w:rPr>
              <w:t>HBQJ</w:t>
            </w:r>
            <w:proofErr w:type="spellEnd"/>
          </w:p>
        </w:tc>
        <w:tc>
          <w:tcPr>
            <w:tcW w:w="3780" w:type="dxa"/>
            <w:tcBorders>
              <w:top w:val="single" w:sz="4" w:space="0" w:color="auto"/>
              <w:left w:val="single" w:sz="4" w:space="0" w:color="808080" w:themeColor="background1" w:themeShade="80"/>
              <w:bottom w:val="single" w:sz="4" w:space="0" w:color="808080" w:themeColor="background1" w:themeShade="80"/>
              <w:right w:val="single" w:sz="4" w:space="0" w:color="auto"/>
            </w:tcBorders>
            <w:shd w:val="clear" w:color="auto" w:fill="auto"/>
            <w:vAlign w:val="bottom"/>
          </w:tcPr>
          <w:p w14:paraId="74B25EF4" w14:textId="71488338" w:rsidR="000733DC" w:rsidRPr="007C7952" w:rsidRDefault="00EF48A0" w:rsidP="007C7952">
            <w:pPr>
              <w:pStyle w:val="SGBodytext"/>
              <w:rPr>
                <w:lang w:eastAsia="en-GB"/>
              </w:rPr>
            </w:pPr>
            <w:r w:rsidRPr="007C7952">
              <w:rPr>
                <w:lang w:eastAsia="en-GB"/>
              </w:rPr>
              <w:t xml:space="preserve">Banking share </w:t>
            </w:r>
            <w:proofErr w:type="spellStart"/>
            <w:r w:rsidRPr="007C7952">
              <w:rPr>
                <w:lang w:eastAsia="en-GB"/>
              </w:rPr>
              <w:t>GVA</w:t>
            </w:r>
            <w:proofErr w:type="spellEnd"/>
          </w:p>
        </w:tc>
      </w:tr>
      <w:tr w:rsidR="00F748F9" w:rsidRPr="00187045" w14:paraId="191EA2FA" w14:textId="77777777" w:rsidTr="001E7EB1">
        <w:trPr>
          <w:trHeight w:val="255"/>
        </w:trPr>
        <w:tc>
          <w:tcPr>
            <w:tcW w:w="458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bottom"/>
          </w:tcPr>
          <w:p w14:paraId="578EBF5B" w14:textId="4DD67518" w:rsidR="000733DC" w:rsidRPr="007C7952" w:rsidRDefault="00EF48A0" w:rsidP="007C7952">
            <w:pPr>
              <w:pStyle w:val="SGBodytext"/>
              <w:rPr>
                <w:lang w:eastAsia="en-GB"/>
              </w:rPr>
            </w:pPr>
            <w:r w:rsidRPr="007C7952">
              <w:rPr>
                <w:lang w:eastAsia="en-GB"/>
              </w:rPr>
              <w:t xml:space="preserve">Earnings in equities – other sectors </w:t>
            </w:r>
          </w:p>
        </w:tc>
        <w:tc>
          <w:tcPr>
            <w:tcW w:w="13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1A4FDE2D" w14:textId="09555D77" w:rsidR="000733DC" w:rsidRPr="007C7952" w:rsidRDefault="00EF48A0" w:rsidP="007C7952">
            <w:pPr>
              <w:pStyle w:val="SGBodytext"/>
              <w:rPr>
                <w:lang w:eastAsia="en-GB"/>
              </w:rPr>
            </w:pPr>
            <w:proofErr w:type="spellStart"/>
            <w:r w:rsidRPr="007C7952">
              <w:rPr>
                <w:lang w:eastAsia="en-GB"/>
              </w:rPr>
              <w:t>MS86</w:t>
            </w:r>
            <w:proofErr w:type="spellEnd"/>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bottom"/>
          </w:tcPr>
          <w:p w14:paraId="050B2F34" w14:textId="5C48AAF1" w:rsidR="000733DC" w:rsidRPr="007C7952" w:rsidRDefault="00EF48A0" w:rsidP="007C7952">
            <w:pPr>
              <w:pStyle w:val="SGBodytext"/>
              <w:rPr>
                <w:lang w:eastAsia="en-GB"/>
              </w:rPr>
            </w:pPr>
            <w:r w:rsidRPr="007C7952">
              <w:rPr>
                <w:lang w:eastAsia="en-GB"/>
              </w:rPr>
              <w:t xml:space="preserve">Non-financial company </w:t>
            </w:r>
            <w:proofErr w:type="spellStart"/>
            <w:r w:rsidRPr="007C7952">
              <w:rPr>
                <w:lang w:eastAsia="en-GB"/>
              </w:rPr>
              <w:t>GVA</w:t>
            </w:r>
            <w:proofErr w:type="spellEnd"/>
          </w:p>
        </w:tc>
      </w:tr>
      <w:tr w:rsidR="00F748F9" w:rsidRPr="00187045" w14:paraId="656E2B49" w14:textId="77777777" w:rsidTr="001E7EB1">
        <w:trPr>
          <w:trHeight w:val="255"/>
        </w:trPr>
        <w:tc>
          <w:tcPr>
            <w:tcW w:w="458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bottom"/>
          </w:tcPr>
          <w:p w14:paraId="68A70CD0" w14:textId="4D0CCAE1" w:rsidR="000733DC" w:rsidRPr="007C7952" w:rsidRDefault="00EF48A0" w:rsidP="007C7952">
            <w:pPr>
              <w:pStyle w:val="SGBodytext"/>
              <w:rPr>
                <w:lang w:eastAsia="en-GB"/>
              </w:rPr>
            </w:pPr>
            <w:r w:rsidRPr="007C7952">
              <w:rPr>
                <w:lang w:eastAsia="en-GB"/>
              </w:rPr>
              <w:t xml:space="preserve">Earnings in investment funds  – dividends </w:t>
            </w:r>
          </w:p>
        </w:tc>
        <w:tc>
          <w:tcPr>
            <w:tcW w:w="13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6BA37388" w14:textId="75A01E65" w:rsidR="000733DC" w:rsidRPr="007C7952" w:rsidRDefault="00EF48A0" w:rsidP="007C7952">
            <w:pPr>
              <w:pStyle w:val="SGBodytext"/>
              <w:rPr>
                <w:lang w:eastAsia="en-GB"/>
              </w:rPr>
            </w:pPr>
            <w:proofErr w:type="spellStart"/>
            <w:r w:rsidRPr="007C7952">
              <w:rPr>
                <w:lang w:eastAsia="en-GB"/>
              </w:rPr>
              <w:t>MT3W</w:t>
            </w:r>
            <w:proofErr w:type="spellEnd"/>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bottom"/>
          </w:tcPr>
          <w:p w14:paraId="78941ECA" w14:textId="279FF6A2" w:rsidR="000733DC" w:rsidRPr="007C7952" w:rsidRDefault="00EF48A0" w:rsidP="007C7952">
            <w:pPr>
              <w:pStyle w:val="SGBodytext"/>
              <w:rPr>
                <w:lang w:eastAsia="en-GB"/>
              </w:rPr>
            </w:pPr>
            <w:r w:rsidRPr="007C7952">
              <w:rPr>
                <w:lang w:eastAsia="en-GB"/>
              </w:rPr>
              <w:t>Population share</w:t>
            </w:r>
          </w:p>
        </w:tc>
      </w:tr>
      <w:tr w:rsidR="00B71181" w:rsidRPr="00187045" w14:paraId="3036FAB2" w14:textId="77777777" w:rsidTr="001E7EB1">
        <w:trPr>
          <w:trHeight w:val="255"/>
        </w:trPr>
        <w:tc>
          <w:tcPr>
            <w:tcW w:w="4580" w:type="dxa"/>
            <w:tcBorders>
              <w:top w:val="single" w:sz="4" w:space="0" w:color="808080" w:themeColor="background1" w:themeShade="80"/>
              <w:left w:val="single" w:sz="4" w:space="0" w:color="auto"/>
              <w:bottom w:val="single" w:sz="4" w:space="0" w:color="auto"/>
              <w:right w:val="single" w:sz="4" w:space="0" w:color="808080" w:themeColor="background1" w:themeShade="80"/>
            </w:tcBorders>
            <w:shd w:val="clear" w:color="auto" w:fill="auto"/>
            <w:vAlign w:val="bottom"/>
          </w:tcPr>
          <w:p w14:paraId="1C5DF0D5" w14:textId="46133CEB" w:rsidR="000733DC" w:rsidRPr="007C7952" w:rsidRDefault="00EF48A0" w:rsidP="007C7952">
            <w:pPr>
              <w:pStyle w:val="SGBodytext"/>
              <w:rPr>
                <w:lang w:eastAsia="en-GB"/>
              </w:rPr>
            </w:pPr>
            <w:r w:rsidRPr="007C7952">
              <w:rPr>
                <w:lang w:eastAsia="en-GB"/>
              </w:rPr>
              <w:t xml:space="preserve">Earnings in investment funds  – re-invested earnings </w:t>
            </w:r>
          </w:p>
        </w:tc>
        <w:tc>
          <w:tcPr>
            <w:tcW w:w="13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5AECE58E" w14:textId="108F313E" w:rsidR="000733DC" w:rsidRPr="007C7952" w:rsidRDefault="00EF48A0" w:rsidP="007C7952">
            <w:pPr>
              <w:pStyle w:val="SGBodytext"/>
              <w:rPr>
                <w:lang w:eastAsia="en-GB"/>
              </w:rPr>
            </w:pPr>
            <w:proofErr w:type="spellStart"/>
            <w:r w:rsidRPr="007C7952">
              <w:rPr>
                <w:lang w:eastAsia="en-GB"/>
              </w:rPr>
              <w:t>MT3X</w:t>
            </w:r>
            <w:proofErr w:type="spellEnd"/>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bottom"/>
          </w:tcPr>
          <w:p w14:paraId="4D2F720B" w14:textId="44898071" w:rsidR="000733DC" w:rsidRPr="007C7952" w:rsidRDefault="00EF48A0" w:rsidP="007C7952">
            <w:pPr>
              <w:pStyle w:val="SGBodytext"/>
              <w:rPr>
                <w:lang w:eastAsia="en-GB"/>
              </w:rPr>
            </w:pPr>
            <w:r w:rsidRPr="007C7952">
              <w:rPr>
                <w:lang w:eastAsia="en-GB"/>
              </w:rPr>
              <w:t>Population share</w:t>
            </w:r>
          </w:p>
        </w:tc>
      </w:tr>
      <w:tr w:rsidR="00EF48A0" w:rsidRPr="00187045" w14:paraId="262AC61E" w14:textId="77777777" w:rsidTr="001E7EB1">
        <w:trPr>
          <w:trHeight w:val="255"/>
        </w:trPr>
        <w:tc>
          <w:tcPr>
            <w:tcW w:w="9683"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auto"/>
            <w:vAlign w:val="bottom"/>
          </w:tcPr>
          <w:p w14:paraId="0395D576" w14:textId="65153E2D" w:rsidR="00EF48A0" w:rsidRPr="007C7952" w:rsidRDefault="00EF48A0" w:rsidP="007C7952">
            <w:pPr>
              <w:pStyle w:val="SGBodytext"/>
              <w:rPr>
                <w:lang w:eastAsia="en-GB"/>
              </w:rPr>
            </w:pPr>
            <w:r w:rsidRPr="007C7952">
              <w:rPr>
                <w:lang w:eastAsia="en-GB"/>
              </w:rPr>
              <w:t xml:space="preserve">Debt Securities </w:t>
            </w:r>
          </w:p>
        </w:tc>
      </w:tr>
      <w:tr w:rsidR="00B71181" w:rsidRPr="00187045" w14:paraId="7AE401AA" w14:textId="77777777" w:rsidTr="001E7EB1">
        <w:trPr>
          <w:trHeight w:val="255"/>
        </w:trPr>
        <w:tc>
          <w:tcPr>
            <w:tcW w:w="4580" w:type="dxa"/>
            <w:tcBorders>
              <w:top w:val="single" w:sz="4" w:space="0" w:color="auto"/>
              <w:left w:val="single" w:sz="4" w:space="0" w:color="auto"/>
              <w:bottom w:val="single" w:sz="4" w:space="0" w:color="808080" w:themeColor="background1" w:themeShade="80"/>
              <w:right w:val="single" w:sz="4" w:space="0" w:color="808080" w:themeColor="background1" w:themeShade="80"/>
            </w:tcBorders>
            <w:shd w:val="clear" w:color="auto" w:fill="auto"/>
            <w:vAlign w:val="bottom"/>
          </w:tcPr>
          <w:p w14:paraId="745A8FE6" w14:textId="71BC534C" w:rsidR="000733DC" w:rsidRPr="007C7952" w:rsidRDefault="0042560A" w:rsidP="007C7952">
            <w:pPr>
              <w:pStyle w:val="SGBodytext"/>
              <w:rPr>
                <w:lang w:eastAsia="en-GB"/>
              </w:rPr>
            </w:pPr>
            <w:r w:rsidRPr="007C7952">
              <w:rPr>
                <w:lang w:eastAsia="en-GB"/>
              </w:rPr>
              <w:t xml:space="preserve">Short term debt – MFI – certificates of deposit </w:t>
            </w:r>
          </w:p>
        </w:tc>
        <w:tc>
          <w:tcPr>
            <w:tcW w:w="13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514F68E2" w14:textId="66B20520" w:rsidR="000733DC" w:rsidRPr="007C7952" w:rsidRDefault="0042560A" w:rsidP="007C7952">
            <w:pPr>
              <w:pStyle w:val="SGBodytext"/>
              <w:rPr>
                <w:lang w:eastAsia="en-GB"/>
              </w:rPr>
            </w:pPr>
            <w:proofErr w:type="spellStart"/>
            <w:r w:rsidRPr="007C7952">
              <w:rPr>
                <w:lang w:eastAsia="en-GB"/>
              </w:rPr>
              <w:t>HCEE</w:t>
            </w:r>
            <w:proofErr w:type="spellEnd"/>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bottom"/>
          </w:tcPr>
          <w:p w14:paraId="6E778987" w14:textId="208C0AF6" w:rsidR="000733DC" w:rsidRPr="007C7952" w:rsidRDefault="0042560A" w:rsidP="007C7952">
            <w:pPr>
              <w:pStyle w:val="SGBodytext"/>
              <w:rPr>
                <w:lang w:eastAsia="en-GB"/>
              </w:rPr>
            </w:pPr>
            <w:r w:rsidRPr="007C7952">
              <w:rPr>
                <w:lang w:eastAsia="en-GB"/>
              </w:rPr>
              <w:t xml:space="preserve">Banking share of </w:t>
            </w:r>
            <w:proofErr w:type="spellStart"/>
            <w:r w:rsidRPr="007C7952">
              <w:rPr>
                <w:lang w:eastAsia="en-GB"/>
              </w:rPr>
              <w:t>GVA</w:t>
            </w:r>
            <w:proofErr w:type="spellEnd"/>
            <w:r w:rsidRPr="007C7952">
              <w:rPr>
                <w:lang w:eastAsia="en-GB"/>
              </w:rPr>
              <w:t xml:space="preserve"> </w:t>
            </w:r>
          </w:p>
        </w:tc>
      </w:tr>
      <w:tr w:rsidR="00F748F9" w:rsidRPr="00187045" w14:paraId="49A941BA" w14:textId="77777777" w:rsidTr="001E7EB1">
        <w:trPr>
          <w:trHeight w:val="255"/>
        </w:trPr>
        <w:tc>
          <w:tcPr>
            <w:tcW w:w="458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bottom"/>
          </w:tcPr>
          <w:p w14:paraId="077AC335" w14:textId="0D76C451" w:rsidR="000733DC" w:rsidRPr="007C7952" w:rsidRDefault="0042560A" w:rsidP="007C7952">
            <w:pPr>
              <w:pStyle w:val="SGBodytext"/>
              <w:rPr>
                <w:lang w:eastAsia="en-GB"/>
              </w:rPr>
            </w:pPr>
            <w:r w:rsidRPr="007C7952">
              <w:rPr>
                <w:lang w:eastAsia="en-GB"/>
              </w:rPr>
              <w:t xml:space="preserve">Short term debt – MFI – other short term debt </w:t>
            </w:r>
          </w:p>
        </w:tc>
        <w:tc>
          <w:tcPr>
            <w:tcW w:w="13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0B9F737E" w14:textId="2AE63022" w:rsidR="000733DC" w:rsidRPr="007C7952" w:rsidRDefault="0042560A" w:rsidP="007C7952">
            <w:pPr>
              <w:pStyle w:val="SGBodytext"/>
              <w:rPr>
                <w:lang w:eastAsia="en-GB"/>
              </w:rPr>
            </w:pPr>
            <w:proofErr w:type="spellStart"/>
            <w:r w:rsidRPr="007C7952">
              <w:rPr>
                <w:lang w:eastAsia="en-GB"/>
              </w:rPr>
              <w:t>HCEF</w:t>
            </w:r>
            <w:proofErr w:type="spellEnd"/>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bottom"/>
          </w:tcPr>
          <w:p w14:paraId="7F1E54D4" w14:textId="2BD3A20D" w:rsidR="000733DC" w:rsidRPr="007C7952" w:rsidRDefault="0042560A" w:rsidP="007C7952">
            <w:pPr>
              <w:pStyle w:val="SGBodytext"/>
              <w:rPr>
                <w:lang w:eastAsia="en-GB"/>
              </w:rPr>
            </w:pPr>
            <w:r w:rsidRPr="007C7952">
              <w:rPr>
                <w:lang w:eastAsia="en-GB"/>
              </w:rPr>
              <w:t xml:space="preserve">Banking share of </w:t>
            </w:r>
            <w:proofErr w:type="spellStart"/>
            <w:r w:rsidRPr="007C7952">
              <w:rPr>
                <w:lang w:eastAsia="en-GB"/>
              </w:rPr>
              <w:t>GVA</w:t>
            </w:r>
            <w:proofErr w:type="spellEnd"/>
          </w:p>
        </w:tc>
      </w:tr>
      <w:tr w:rsidR="00F748F9" w:rsidRPr="00187045" w14:paraId="3670CE5D" w14:textId="77777777" w:rsidTr="001E7EB1">
        <w:trPr>
          <w:trHeight w:val="255"/>
        </w:trPr>
        <w:tc>
          <w:tcPr>
            <w:tcW w:w="458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bottom"/>
          </w:tcPr>
          <w:p w14:paraId="6B3C9A58" w14:textId="66D032D8" w:rsidR="000733DC" w:rsidRPr="007C7952" w:rsidRDefault="0042560A" w:rsidP="007C7952">
            <w:pPr>
              <w:pStyle w:val="SGBodytext"/>
              <w:rPr>
                <w:lang w:eastAsia="en-GB"/>
              </w:rPr>
            </w:pPr>
            <w:r w:rsidRPr="007C7952">
              <w:rPr>
                <w:lang w:eastAsia="en-GB"/>
              </w:rPr>
              <w:t>Short term debt – issued by central government – sterling treasury bills</w:t>
            </w:r>
          </w:p>
        </w:tc>
        <w:tc>
          <w:tcPr>
            <w:tcW w:w="13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0EFA0CF8" w14:textId="4F5E0606" w:rsidR="000733DC" w:rsidRPr="007C7952" w:rsidRDefault="0042560A" w:rsidP="007C7952">
            <w:pPr>
              <w:pStyle w:val="SGBodytext"/>
              <w:rPr>
                <w:lang w:eastAsia="en-GB"/>
              </w:rPr>
            </w:pPr>
            <w:proofErr w:type="spellStart"/>
            <w:r w:rsidRPr="007C7952">
              <w:rPr>
                <w:lang w:eastAsia="en-GB"/>
              </w:rPr>
              <w:t>HHNV</w:t>
            </w:r>
            <w:proofErr w:type="spellEnd"/>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bottom"/>
          </w:tcPr>
          <w:p w14:paraId="29D04842" w14:textId="484A7733" w:rsidR="000733DC" w:rsidRPr="007C7952" w:rsidRDefault="0042560A" w:rsidP="007C7952">
            <w:pPr>
              <w:pStyle w:val="SGBodytext"/>
              <w:rPr>
                <w:lang w:eastAsia="en-GB"/>
              </w:rPr>
            </w:pPr>
            <w:r w:rsidRPr="007C7952">
              <w:rPr>
                <w:lang w:eastAsia="en-GB"/>
              </w:rPr>
              <w:t>Population share</w:t>
            </w:r>
          </w:p>
        </w:tc>
      </w:tr>
      <w:tr w:rsidR="00F748F9" w:rsidRPr="00187045" w14:paraId="4F54159C" w14:textId="77777777" w:rsidTr="001E7EB1">
        <w:trPr>
          <w:trHeight w:val="255"/>
        </w:trPr>
        <w:tc>
          <w:tcPr>
            <w:tcW w:w="458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bottom"/>
          </w:tcPr>
          <w:p w14:paraId="352BE431" w14:textId="6348937A" w:rsidR="000733DC" w:rsidRPr="007C7952" w:rsidRDefault="0042560A" w:rsidP="007C7952">
            <w:pPr>
              <w:pStyle w:val="SGBodytext"/>
              <w:rPr>
                <w:lang w:eastAsia="en-GB"/>
              </w:rPr>
            </w:pPr>
            <w:r w:rsidRPr="007C7952">
              <w:rPr>
                <w:lang w:eastAsia="en-GB"/>
              </w:rPr>
              <w:t>Short term debt – issued by central government – other short term debt</w:t>
            </w:r>
          </w:p>
        </w:tc>
        <w:tc>
          <w:tcPr>
            <w:tcW w:w="13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6FDE0915" w14:textId="66E43E06" w:rsidR="000733DC" w:rsidRPr="007C7952" w:rsidRDefault="0042560A" w:rsidP="007C7952">
            <w:pPr>
              <w:pStyle w:val="SGBodytext"/>
              <w:rPr>
                <w:lang w:eastAsia="en-GB"/>
              </w:rPr>
            </w:pPr>
            <w:proofErr w:type="spellStart"/>
            <w:r w:rsidRPr="007C7952">
              <w:rPr>
                <w:lang w:eastAsia="en-GB"/>
              </w:rPr>
              <w:t>N4447</w:t>
            </w:r>
            <w:proofErr w:type="spellEnd"/>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bottom"/>
          </w:tcPr>
          <w:p w14:paraId="340F704D" w14:textId="35C29C66" w:rsidR="000733DC" w:rsidRPr="007C7952" w:rsidRDefault="0042560A" w:rsidP="007C7952">
            <w:pPr>
              <w:pStyle w:val="SGBodytext"/>
              <w:rPr>
                <w:lang w:eastAsia="en-GB"/>
              </w:rPr>
            </w:pPr>
            <w:r w:rsidRPr="007C7952">
              <w:rPr>
                <w:lang w:eastAsia="en-GB"/>
              </w:rPr>
              <w:t>Population share</w:t>
            </w:r>
          </w:p>
        </w:tc>
      </w:tr>
      <w:tr w:rsidR="00F748F9" w:rsidRPr="00187045" w14:paraId="217CBDC0" w14:textId="77777777" w:rsidTr="001E7EB1">
        <w:trPr>
          <w:trHeight w:val="255"/>
        </w:trPr>
        <w:tc>
          <w:tcPr>
            <w:tcW w:w="458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bottom"/>
          </w:tcPr>
          <w:p w14:paraId="32419CAB" w14:textId="34B07322" w:rsidR="000733DC" w:rsidRPr="007C7952" w:rsidRDefault="0042560A" w:rsidP="007C7952">
            <w:pPr>
              <w:pStyle w:val="SGBodytext"/>
              <w:rPr>
                <w:lang w:eastAsia="en-GB"/>
              </w:rPr>
            </w:pPr>
            <w:r w:rsidRPr="007C7952">
              <w:rPr>
                <w:lang w:eastAsia="en-GB"/>
              </w:rPr>
              <w:t xml:space="preserve">Short term debt – issued by other sources </w:t>
            </w:r>
          </w:p>
        </w:tc>
        <w:tc>
          <w:tcPr>
            <w:tcW w:w="13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1A2410E8" w14:textId="4562D4DB" w:rsidR="000733DC" w:rsidRPr="007C7952" w:rsidRDefault="0042560A" w:rsidP="007C7952">
            <w:pPr>
              <w:pStyle w:val="SGBodytext"/>
              <w:rPr>
                <w:lang w:eastAsia="en-GB"/>
              </w:rPr>
            </w:pPr>
            <w:proofErr w:type="spellStart"/>
            <w:r w:rsidRPr="007C7952">
              <w:rPr>
                <w:lang w:eastAsia="en-GB"/>
              </w:rPr>
              <w:t>HHZT</w:t>
            </w:r>
            <w:proofErr w:type="spellEnd"/>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bottom"/>
          </w:tcPr>
          <w:p w14:paraId="74A96460" w14:textId="6C145B39" w:rsidR="000733DC" w:rsidRPr="007C7952" w:rsidRDefault="0042560A" w:rsidP="007C7952">
            <w:pPr>
              <w:pStyle w:val="SGBodytext"/>
              <w:rPr>
                <w:lang w:eastAsia="en-GB"/>
              </w:rPr>
            </w:pPr>
            <w:r w:rsidRPr="007C7952">
              <w:rPr>
                <w:lang w:eastAsia="en-GB"/>
              </w:rPr>
              <w:t xml:space="preserve">Non-financial companies </w:t>
            </w:r>
            <w:proofErr w:type="spellStart"/>
            <w:r w:rsidRPr="007C7952">
              <w:rPr>
                <w:lang w:eastAsia="en-GB"/>
              </w:rPr>
              <w:t>GVA</w:t>
            </w:r>
            <w:proofErr w:type="spellEnd"/>
            <w:r w:rsidRPr="007C7952">
              <w:rPr>
                <w:lang w:eastAsia="en-GB"/>
              </w:rPr>
              <w:t xml:space="preserve"> share</w:t>
            </w:r>
          </w:p>
        </w:tc>
      </w:tr>
      <w:tr w:rsidR="003D6CF1" w:rsidRPr="00187045" w14:paraId="7F2D9C1C" w14:textId="77777777" w:rsidTr="001E7EB1">
        <w:trPr>
          <w:trHeight w:val="255"/>
        </w:trPr>
        <w:tc>
          <w:tcPr>
            <w:tcW w:w="458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bottom"/>
          </w:tcPr>
          <w:p w14:paraId="177A6149" w14:textId="61CBD894" w:rsidR="0042560A" w:rsidRPr="007C7952" w:rsidRDefault="004018D2" w:rsidP="007C7952">
            <w:pPr>
              <w:pStyle w:val="SGBodytext"/>
              <w:rPr>
                <w:lang w:eastAsia="en-GB"/>
              </w:rPr>
            </w:pPr>
            <w:r w:rsidRPr="007C7952">
              <w:rPr>
                <w:lang w:eastAsia="en-GB"/>
              </w:rPr>
              <w:t>Long term debt – issues by MFIs</w:t>
            </w:r>
          </w:p>
        </w:tc>
        <w:tc>
          <w:tcPr>
            <w:tcW w:w="13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4CF2F00E" w14:textId="33F2BA24" w:rsidR="0042560A" w:rsidRPr="007C7952" w:rsidRDefault="004018D2" w:rsidP="007C7952">
            <w:pPr>
              <w:pStyle w:val="SGBodytext"/>
              <w:rPr>
                <w:lang w:eastAsia="en-GB"/>
              </w:rPr>
            </w:pPr>
            <w:r w:rsidRPr="007C7952">
              <w:rPr>
                <w:lang w:eastAsia="en-GB"/>
              </w:rPr>
              <w:t xml:space="preserve">HBOT </w:t>
            </w:r>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bottom"/>
          </w:tcPr>
          <w:p w14:paraId="1EF02E51" w14:textId="3AB5DBFF" w:rsidR="0042560A" w:rsidRPr="007C7952" w:rsidRDefault="004018D2" w:rsidP="007C7952">
            <w:pPr>
              <w:pStyle w:val="SGBodytext"/>
              <w:rPr>
                <w:lang w:eastAsia="en-GB"/>
              </w:rPr>
            </w:pPr>
            <w:r w:rsidRPr="007C7952">
              <w:rPr>
                <w:lang w:eastAsia="en-GB"/>
              </w:rPr>
              <w:t xml:space="preserve">Banking share of </w:t>
            </w:r>
            <w:proofErr w:type="spellStart"/>
            <w:r w:rsidRPr="007C7952">
              <w:rPr>
                <w:lang w:eastAsia="en-GB"/>
              </w:rPr>
              <w:t>GVA</w:t>
            </w:r>
            <w:proofErr w:type="spellEnd"/>
          </w:p>
        </w:tc>
      </w:tr>
      <w:tr w:rsidR="003D6CF1" w:rsidRPr="00187045" w14:paraId="4FA935AF" w14:textId="77777777" w:rsidTr="001E7EB1">
        <w:trPr>
          <w:trHeight w:val="255"/>
        </w:trPr>
        <w:tc>
          <w:tcPr>
            <w:tcW w:w="458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bottom"/>
          </w:tcPr>
          <w:p w14:paraId="5D244E0B" w14:textId="1E074F94" w:rsidR="0042560A" w:rsidRPr="007C7952" w:rsidRDefault="004018D2" w:rsidP="007C7952">
            <w:pPr>
              <w:pStyle w:val="SGBodytext"/>
              <w:rPr>
                <w:lang w:eastAsia="en-GB"/>
              </w:rPr>
            </w:pPr>
            <w:r w:rsidRPr="007C7952">
              <w:rPr>
                <w:lang w:eastAsia="en-GB"/>
              </w:rPr>
              <w:t xml:space="preserve">Long term debt – issues by central government – foreign currency </w:t>
            </w:r>
          </w:p>
        </w:tc>
        <w:tc>
          <w:tcPr>
            <w:tcW w:w="13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54D2DF93" w14:textId="20BF0DDA" w:rsidR="0042560A" w:rsidRPr="007C7952" w:rsidRDefault="004018D2" w:rsidP="007C7952">
            <w:pPr>
              <w:pStyle w:val="SGBodytext"/>
              <w:rPr>
                <w:lang w:eastAsia="en-GB"/>
              </w:rPr>
            </w:pPr>
            <w:proofErr w:type="spellStart"/>
            <w:r w:rsidRPr="007C7952">
              <w:rPr>
                <w:lang w:eastAsia="en-GB"/>
              </w:rPr>
              <w:t>ZMRA</w:t>
            </w:r>
            <w:proofErr w:type="spellEnd"/>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bottom"/>
          </w:tcPr>
          <w:p w14:paraId="38D7F39A" w14:textId="009B4F8D" w:rsidR="0042560A" w:rsidRPr="007C7952" w:rsidRDefault="004018D2" w:rsidP="007C7952">
            <w:pPr>
              <w:pStyle w:val="SGBodytext"/>
              <w:rPr>
                <w:lang w:eastAsia="en-GB"/>
              </w:rPr>
            </w:pPr>
            <w:r w:rsidRPr="007C7952">
              <w:rPr>
                <w:lang w:eastAsia="en-GB"/>
              </w:rPr>
              <w:t>Population share</w:t>
            </w:r>
          </w:p>
        </w:tc>
      </w:tr>
      <w:tr w:rsidR="003D6CF1" w:rsidRPr="00187045" w14:paraId="46D64E70" w14:textId="77777777" w:rsidTr="001E7EB1">
        <w:trPr>
          <w:trHeight w:val="255"/>
        </w:trPr>
        <w:tc>
          <w:tcPr>
            <w:tcW w:w="458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bottom"/>
          </w:tcPr>
          <w:p w14:paraId="2BA0A551" w14:textId="307C2E57" w:rsidR="0042560A" w:rsidRPr="007C7952" w:rsidRDefault="004018D2" w:rsidP="007C7952">
            <w:pPr>
              <w:pStyle w:val="SGBodytext"/>
              <w:rPr>
                <w:lang w:eastAsia="en-GB"/>
              </w:rPr>
            </w:pPr>
            <w:r w:rsidRPr="007C7952">
              <w:rPr>
                <w:lang w:eastAsia="en-GB"/>
              </w:rPr>
              <w:t xml:space="preserve">Long term debt – issues by central government – other long term debt </w:t>
            </w:r>
          </w:p>
        </w:tc>
        <w:tc>
          <w:tcPr>
            <w:tcW w:w="13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4CF2F0E3" w14:textId="3AECAE6E" w:rsidR="0042560A" w:rsidRPr="007C7952" w:rsidRDefault="004018D2" w:rsidP="007C7952">
            <w:pPr>
              <w:pStyle w:val="SGBodytext"/>
              <w:rPr>
                <w:lang w:eastAsia="en-GB"/>
              </w:rPr>
            </w:pPr>
            <w:proofErr w:type="spellStart"/>
            <w:r w:rsidRPr="007C7952">
              <w:rPr>
                <w:lang w:eastAsia="en-GB"/>
              </w:rPr>
              <w:t>N448</w:t>
            </w:r>
            <w:proofErr w:type="spellEnd"/>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bottom"/>
          </w:tcPr>
          <w:p w14:paraId="1F1013DA" w14:textId="0115B54D" w:rsidR="0042560A" w:rsidRPr="007C7952" w:rsidRDefault="004018D2" w:rsidP="007C7952">
            <w:pPr>
              <w:pStyle w:val="SGBodytext"/>
              <w:rPr>
                <w:lang w:eastAsia="en-GB"/>
              </w:rPr>
            </w:pPr>
            <w:r w:rsidRPr="007C7952">
              <w:rPr>
                <w:lang w:eastAsia="en-GB"/>
              </w:rPr>
              <w:t>Population share</w:t>
            </w:r>
          </w:p>
        </w:tc>
      </w:tr>
      <w:tr w:rsidR="003D6CF1" w:rsidRPr="00187045" w14:paraId="6FF2429F" w14:textId="77777777" w:rsidTr="001E7EB1">
        <w:trPr>
          <w:trHeight w:val="255"/>
        </w:trPr>
        <w:tc>
          <w:tcPr>
            <w:tcW w:w="458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bottom"/>
          </w:tcPr>
          <w:p w14:paraId="4CDF6AA1" w14:textId="77639E43" w:rsidR="004018D2" w:rsidRPr="007C7952" w:rsidRDefault="004018D2" w:rsidP="007C7952">
            <w:pPr>
              <w:pStyle w:val="SGBodytext"/>
              <w:rPr>
                <w:lang w:eastAsia="en-GB"/>
              </w:rPr>
            </w:pPr>
            <w:r w:rsidRPr="007C7952">
              <w:rPr>
                <w:lang w:eastAsia="en-GB"/>
              </w:rPr>
              <w:t xml:space="preserve">Earnings on gilts – by foreign central banks </w:t>
            </w:r>
          </w:p>
        </w:tc>
        <w:tc>
          <w:tcPr>
            <w:tcW w:w="13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320A785B" w14:textId="2E57D1C9" w:rsidR="004018D2" w:rsidRPr="007C7952" w:rsidRDefault="004018D2" w:rsidP="007C7952">
            <w:pPr>
              <w:pStyle w:val="SGBodytext"/>
              <w:rPr>
                <w:lang w:eastAsia="en-GB"/>
              </w:rPr>
            </w:pPr>
            <w:proofErr w:type="spellStart"/>
            <w:r w:rsidRPr="007C7952">
              <w:rPr>
                <w:lang w:eastAsia="en-GB"/>
              </w:rPr>
              <w:t>HESK</w:t>
            </w:r>
            <w:proofErr w:type="spellEnd"/>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bottom"/>
          </w:tcPr>
          <w:p w14:paraId="56B81B0A" w14:textId="691D3AAA" w:rsidR="004018D2" w:rsidRPr="007C7952" w:rsidRDefault="004018D2" w:rsidP="007C7952">
            <w:pPr>
              <w:pStyle w:val="SGBodytext"/>
              <w:rPr>
                <w:lang w:eastAsia="en-GB"/>
              </w:rPr>
            </w:pPr>
            <w:r w:rsidRPr="007C7952">
              <w:rPr>
                <w:lang w:eastAsia="en-GB"/>
              </w:rPr>
              <w:t>Population share</w:t>
            </w:r>
          </w:p>
        </w:tc>
      </w:tr>
      <w:tr w:rsidR="003D6CF1" w:rsidRPr="00187045" w14:paraId="620E0923" w14:textId="77777777" w:rsidTr="001E7EB1">
        <w:trPr>
          <w:trHeight w:val="255"/>
        </w:trPr>
        <w:tc>
          <w:tcPr>
            <w:tcW w:w="458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bottom"/>
          </w:tcPr>
          <w:p w14:paraId="79AF0AD5" w14:textId="3A58F094" w:rsidR="004018D2" w:rsidRPr="007C7952" w:rsidRDefault="004018D2" w:rsidP="007C7952">
            <w:pPr>
              <w:pStyle w:val="SGBodytext"/>
              <w:rPr>
                <w:lang w:eastAsia="en-GB"/>
              </w:rPr>
            </w:pPr>
            <w:r w:rsidRPr="007C7952">
              <w:rPr>
                <w:lang w:eastAsia="en-GB"/>
              </w:rPr>
              <w:t xml:space="preserve">Earnings on gilts – by other </w:t>
            </w:r>
          </w:p>
        </w:tc>
        <w:tc>
          <w:tcPr>
            <w:tcW w:w="13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4B3F753B" w14:textId="075E6CD0" w:rsidR="004018D2" w:rsidRPr="007C7952" w:rsidRDefault="004018D2" w:rsidP="007C7952">
            <w:pPr>
              <w:pStyle w:val="SGBodytext"/>
              <w:rPr>
                <w:lang w:eastAsia="en-GB"/>
              </w:rPr>
            </w:pPr>
            <w:proofErr w:type="spellStart"/>
            <w:r w:rsidRPr="007C7952">
              <w:rPr>
                <w:lang w:eastAsia="en-GB"/>
              </w:rPr>
              <w:t>HCEV</w:t>
            </w:r>
            <w:proofErr w:type="spellEnd"/>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bottom"/>
          </w:tcPr>
          <w:p w14:paraId="5C8128FB" w14:textId="405ADC32" w:rsidR="004018D2" w:rsidRPr="007C7952" w:rsidRDefault="004018D2" w:rsidP="007C7952">
            <w:pPr>
              <w:pStyle w:val="SGBodytext"/>
              <w:rPr>
                <w:lang w:eastAsia="en-GB"/>
              </w:rPr>
            </w:pPr>
            <w:r w:rsidRPr="007C7952">
              <w:rPr>
                <w:lang w:eastAsia="en-GB"/>
              </w:rPr>
              <w:t>Population share</w:t>
            </w:r>
          </w:p>
        </w:tc>
      </w:tr>
      <w:tr w:rsidR="003D6CF1" w:rsidRPr="00187045" w14:paraId="0027AEC8" w14:textId="77777777" w:rsidTr="001E7EB1">
        <w:trPr>
          <w:trHeight w:val="255"/>
        </w:trPr>
        <w:tc>
          <w:tcPr>
            <w:tcW w:w="458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bottom"/>
          </w:tcPr>
          <w:p w14:paraId="719ADD69" w14:textId="6BD3E983" w:rsidR="004018D2" w:rsidRPr="007C7952" w:rsidRDefault="004018D2" w:rsidP="007C7952">
            <w:pPr>
              <w:pStyle w:val="SGBodytext"/>
              <w:rPr>
                <w:lang w:eastAsia="en-GB"/>
              </w:rPr>
            </w:pPr>
            <w:r w:rsidRPr="007C7952">
              <w:rPr>
                <w:lang w:eastAsia="en-GB"/>
              </w:rPr>
              <w:t>Local authority bonds</w:t>
            </w:r>
          </w:p>
        </w:tc>
        <w:tc>
          <w:tcPr>
            <w:tcW w:w="13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5D2CE700" w14:textId="4A6044FD" w:rsidR="004018D2" w:rsidRPr="007C7952" w:rsidRDefault="004018D2" w:rsidP="007C7952">
            <w:pPr>
              <w:pStyle w:val="SGBodytext"/>
              <w:rPr>
                <w:lang w:eastAsia="en-GB"/>
              </w:rPr>
            </w:pPr>
            <w:proofErr w:type="spellStart"/>
            <w:r w:rsidRPr="007C7952">
              <w:rPr>
                <w:lang w:eastAsia="en-GB"/>
              </w:rPr>
              <w:t>HHGH</w:t>
            </w:r>
            <w:proofErr w:type="spellEnd"/>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bottom"/>
          </w:tcPr>
          <w:p w14:paraId="1EA6CD88" w14:textId="7CC7E0C0" w:rsidR="004018D2" w:rsidRPr="007C7952" w:rsidRDefault="004018D2" w:rsidP="007C7952">
            <w:pPr>
              <w:pStyle w:val="SGBodytext"/>
              <w:rPr>
                <w:lang w:eastAsia="en-GB"/>
              </w:rPr>
            </w:pPr>
            <w:r w:rsidRPr="007C7952">
              <w:rPr>
                <w:lang w:eastAsia="en-GB"/>
              </w:rPr>
              <w:t>Population share</w:t>
            </w:r>
          </w:p>
        </w:tc>
      </w:tr>
      <w:tr w:rsidR="003D6CF1" w:rsidRPr="00187045" w14:paraId="64C29152" w14:textId="77777777" w:rsidTr="001E7EB1">
        <w:trPr>
          <w:trHeight w:val="255"/>
        </w:trPr>
        <w:tc>
          <w:tcPr>
            <w:tcW w:w="458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bottom"/>
          </w:tcPr>
          <w:p w14:paraId="2FE75EC4" w14:textId="41F42A2D" w:rsidR="004018D2" w:rsidRPr="007C7952" w:rsidRDefault="004018D2" w:rsidP="007C7952">
            <w:pPr>
              <w:pStyle w:val="SGBodytext"/>
              <w:rPr>
                <w:lang w:eastAsia="en-GB"/>
              </w:rPr>
            </w:pPr>
            <w:r w:rsidRPr="007C7952">
              <w:rPr>
                <w:lang w:eastAsia="en-GB"/>
              </w:rPr>
              <w:t>Public corporations bonds</w:t>
            </w:r>
          </w:p>
        </w:tc>
        <w:tc>
          <w:tcPr>
            <w:tcW w:w="13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5A2B608A" w14:textId="4A26406D" w:rsidR="004018D2" w:rsidRPr="007C7952" w:rsidRDefault="004018D2" w:rsidP="007C7952">
            <w:pPr>
              <w:pStyle w:val="SGBodytext"/>
              <w:rPr>
                <w:lang w:eastAsia="en-GB"/>
              </w:rPr>
            </w:pPr>
            <w:proofErr w:type="spellStart"/>
            <w:r w:rsidRPr="007C7952">
              <w:rPr>
                <w:lang w:eastAsia="en-GB"/>
              </w:rPr>
              <w:t>HESY</w:t>
            </w:r>
            <w:proofErr w:type="spellEnd"/>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bottom"/>
          </w:tcPr>
          <w:p w14:paraId="4D237815" w14:textId="291B9AE0" w:rsidR="004018D2" w:rsidRPr="007C7952" w:rsidRDefault="004018D2" w:rsidP="007C7952">
            <w:pPr>
              <w:pStyle w:val="SGBodytext"/>
              <w:rPr>
                <w:lang w:eastAsia="en-GB"/>
              </w:rPr>
            </w:pPr>
            <w:r w:rsidRPr="007C7952">
              <w:rPr>
                <w:lang w:eastAsia="en-GB"/>
              </w:rPr>
              <w:t>Population share</w:t>
            </w:r>
          </w:p>
        </w:tc>
      </w:tr>
      <w:tr w:rsidR="003D6CF1" w:rsidRPr="00187045" w14:paraId="43FF8281" w14:textId="77777777" w:rsidTr="001E7EB1">
        <w:trPr>
          <w:trHeight w:val="255"/>
        </w:trPr>
        <w:tc>
          <w:tcPr>
            <w:tcW w:w="4580" w:type="dxa"/>
            <w:tcBorders>
              <w:top w:val="single" w:sz="4" w:space="0" w:color="808080" w:themeColor="background1" w:themeShade="80"/>
              <w:left w:val="single" w:sz="4" w:space="0" w:color="auto"/>
              <w:bottom w:val="single" w:sz="4" w:space="0" w:color="auto"/>
              <w:right w:val="single" w:sz="4" w:space="0" w:color="808080" w:themeColor="background1" w:themeShade="80"/>
            </w:tcBorders>
            <w:shd w:val="clear" w:color="auto" w:fill="auto"/>
            <w:vAlign w:val="bottom"/>
          </w:tcPr>
          <w:p w14:paraId="5026B682" w14:textId="4EF3C4B1" w:rsidR="004018D2" w:rsidRPr="007C7952" w:rsidRDefault="004018D2" w:rsidP="007C7952">
            <w:pPr>
              <w:pStyle w:val="SGBodytext"/>
              <w:rPr>
                <w:lang w:eastAsia="en-GB"/>
              </w:rPr>
            </w:pPr>
            <w:r w:rsidRPr="007C7952">
              <w:rPr>
                <w:lang w:eastAsia="en-GB"/>
              </w:rPr>
              <w:lastRenderedPageBreak/>
              <w:t>Issues by other sector</w:t>
            </w:r>
          </w:p>
        </w:tc>
        <w:tc>
          <w:tcPr>
            <w:tcW w:w="1323"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auto"/>
            <w:vAlign w:val="bottom"/>
          </w:tcPr>
          <w:p w14:paraId="7834759C" w14:textId="7D2CB77E" w:rsidR="004018D2" w:rsidRPr="007C7952" w:rsidRDefault="004018D2" w:rsidP="007C7952">
            <w:pPr>
              <w:pStyle w:val="SGBodytext"/>
              <w:rPr>
                <w:lang w:eastAsia="en-GB"/>
              </w:rPr>
            </w:pPr>
            <w:proofErr w:type="spellStart"/>
            <w:r w:rsidRPr="007C7952">
              <w:rPr>
                <w:lang w:eastAsia="en-GB"/>
              </w:rPr>
              <w:t>HGUW</w:t>
            </w:r>
            <w:proofErr w:type="spellEnd"/>
          </w:p>
        </w:tc>
        <w:tc>
          <w:tcPr>
            <w:tcW w:w="3780" w:type="dxa"/>
            <w:tcBorders>
              <w:top w:val="single" w:sz="4" w:space="0" w:color="808080" w:themeColor="background1" w:themeShade="80"/>
              <w:left w:val="single" w:sz="4" w:space="0" w:color="808080" w:themeColor="background1" w:themeShade="80"/>
              <w:bottom w:val="single" w:sz="4" w:space="0" w:color="auto"/>
              <w:right w:val="single" w:sz="4" w:space="0" w:color="auto"/>
            </w:tcBorders>
            <w:shd w:val="clear" w:color="auto" w:fill="auto"/>
            <w:vAlign w:val="bottom"/>
          </w:tcPr>
          <w:p w14:paraId="0F90E074" w14:textId="75B5892A" w:rsidR="004018D2" w:rsidRPr="007C7952" w:rsidRDefault="004018D2" w:rsidP="007C7952">
            <w:pPr>
              <w:pStyle w:val="SGBodytext"/>
              <w:rPr>
                <w:lang w:eastAsia="en-GB"/>
              </w:rPr>
            </w:pPr>
            <w:r w:rsidRPr="007C7952">
              <w:rPr>
                <w:lang w:eastAsia="en-GB"/>
              </w:rPr>
              <w:t xml:space="preserve">Non-financial companies </w:t>
            </w:r>
            <w:proofErr w:type="spellStart"/>
            <w:r w:rsidRPr="007C7952">
              <w:rPr>
                <w:lang w:eastAsia="en-GB"/>
              </w:rPr>
              <w:t>GVA</w:t>
            </w:r>
            <w:proofErr w:type="spellEnd"/>
            <w:r w:rsidRPr="007C7952">
              <w:rPr>
                <w:lang w:eastAsia="en-GB"/>
              </w:rPr>
              <w:t xml:space="preserve"> share</w:t>
            </w:r>
          </w:p>
        </w:tc>
      </w:tr>
    </w:tbl>
    <w:p w14:paraId="6A598AB1" w14:textId="16C4D6A7" w:rsidR="004A6ABA" w:rsidRPr="004D059D" w:rsidRDefault="004D059D" w:rsidP="007C7952">
      <w:pPr>
        <w:pStyle w:val="SGBodytext"/>
        <w:rPr>
          <w:rStyle w:val="Strong"/>
          <w:rFonts w:eastAsia="Cambria" w:cs="Times New Roman"/>
          <w:sz w:val="26"/>
          <w:lang w:val="en-US"/>
        </w:rPr>
      </w:pPr>
      <w:r>
        <w:rPr>
          <w:rStyle w:val="Strong"/>
        </w:rPr>
        <w:t xml:space="preserve">4.3 </w:t>
      </w:r>
      <w:r w:rsidR="004A6ABA" w:rsidRPr="004D059D">
        <w:rPr>
          <w:rStyle w:val="Strong"/>
        </w:rPr>
        <w:t xml:space="preserve">Portfolio Investment with </w:t>
      </w:r>
      <w:proofErr w:type="spellStart"/>
      <w:r>
        <w:rPr>
          <w:rStyle w:val="Strong"/>
        </w:rPr>
        <w:t>RUK</w:t>
      </w:r>
      <w:proofErr w:type="spellEnd"/>
    </w:p>
    <w:p w14:paraId="1CB33BA0" w14:textId="35F6F7F2" w:rsidR="00924C87" w:rsidRPr="00F748F9" w:rsidRDefault="00924C87" w:rsidP="007C7952">
      <w:pPr>
        <w:pStyle w:val="SGBodytext"/>
      </w:pPr>
      <w:r w:rsidRPr="00F748F9">
        <w:t>Equity Securities</w:t>
      </w:r>
    </w:p>
    <w:p w14:paraId="7FC900DB" w14:textId="755A2B16" w:rsidR="00F053C5" w:rsidRPr="00F748F9" w:rsidRDefault="00D36F27" w:rsidP="007C7952">
      <w:pPr>
        <w:pStyle w:val="SGBodytext"/>
      </w:pPr>
      <w:r w:rsidRPr="00F748F9">
        <w:t>As explained in Annex A, a combination of data from the ONS Share Ownership Survey, UK Economic Accounts, London Stock Exchange</w:t>
      </w:r>
      <w:r w:rsidR="00AF1A5D" w:rsidRPr="00F748F9">
        <w:t>,</w:t>
      </w:r>
      <w:r w:rsidRPr="00F748F9">
        <w:t xml:space="preserve"> Companies House and FAME databases are used to estimate Portfolio Investment flows between Scotland and RUK.</w:t>
      </w:r>
    </w:p>
    <w:p w14:paraId="230327B1" w14:textId="38FEEB9B" w:rsidR="00924C87" w:rsidRPr="00F748F9" w:rsidRDefault="00924C87" w:rsidP="007C7952">
      <w:pPr>
        <w:pStyle w:val="SGBodytext"/>
      </w:pPr>
      <w:r w:rsidRPr="00F748F9">
        <w:t>Debt Securities</w:t>
      </w:r>
    </w:p>
    <w:p w14:paraId="0647702F" w14:textId="0BA30416" w:rsidR="00924C87" w:rsidRPr="00F748F9" w:rsidRDefault="00924C87" w:rsidP="007C7952">
      <w:pPr>
        <w:pStyle w:val="SGBodytext"/>
        <w:rPr>
          <w:szCs w:val="24"/>
        </w:rPr>
      </w:pPr>
      <w:r w:rsidRPr="00F748F9">
        <w:t xml:space="preserve">The Debt Management Office </w:t>
      </w:r>
      <w:r w:rsidR="00C25ED7" w:rsidRPr="00F748F9">
        <w:t>publishes</w:t>
      </w:r>
      <w:r w:rsidRPr="00F748F9">
        <w:t xml:space="preserve"> figures on who owns UK Government debt. Scotland is assigned a share of each of these sectors based on the relevant </w:t>
      </w:r>
      <w:proofErr w:type="spellStart"/>
      <w:r w:rsidRPr="00F748F9">
        <w:t>GVA</w:t>
      </w:r>
      <w:proofErr w:type="spellEnd"/>
      <w:r w:rsidRPr="00F748F9">
        <w:t xml:space="preserve"> share or a population share as shown in the table below. </w:t>
      </w:r>
    </w:p>
    <w:tbl>
      <w:tblPr>
        <w:tblW w:w="9371" w:type="dxa"/>
        <w:tblInd w:w="93" w:type="dxa"/>
        <w:tblLook w:val="04A0" w:firstRow="1" w:lastRow="0" w:firstColumn="1" w:lastColumn="0" w:noHBand="0" w:noVBand="1"/>
      </w:tblPr>
      <w:tblGrid>
        <w:gridCol w:w="4410"/>
        <w:gridCol w:w="4961"/>
      </w:tblGrid>
      <w:tr w:rsidR="00B40CBB" w:rsidRPr="00F748F9" w14:paraId="0B1504BD" w14:textId="77777777" w:rsidTr="00924C87">
        <w:trPr>
          <w:trHeight w:val="357"/>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1789F" w14:textId="7F9353BC" w:rsidR="00924C87" w:rsidRPr="00F748F9" w:rsidRDefault="00924C87" w:rsidP="007C7952">
            <w:pPr>
              <w:pStyle w:val="SGBodytext"/>
              <w:rPr>
                <w:rStyle w:val="SGBoldCharacter"/>
              </w:rPr>
            </w:pPr>
            <w:r w:rsidRPr="00F748F9">
              <w:rPr>
                <w:rStyle w:val="SGBoldCharacter"/>
              </w:rPr>
              <w:t>UK debt owned by:</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935BA" w14:textId="3041EAC4" w:rsidR="00924C87" w:rsidRPr="00F748F9" w:rsidRDefault="00924C87" w:rsidP="007C7952">
            <w:pPr>
              <w:pStyle w:val="SGBodytext"/>
              <w:rPr>
                <w:rStyle w:val="SGBoldCharacter"/>
              </w:rPr>
            </w:pPr>
            <w:r w:rsidRPr="00F748F9">
              <w:rPr>
                <w:rStyle w:val="SGBoldCharacter"/>
              </w:rPr>
              <w:t>Apportioned with:</w:t>
            </w:r>
          </w:p>
        </w:tc>
      </w:tr>
      <w:tr w:rsidR="00B40CBB" w:rsidRPr="00F748F9" w14:paraId="2E87AFEB" w14:textId="77777777" w:rsidTr="00924C87">
        <w:trPr>
          <w:trHeight w:val="264"/>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636B3A" w14:textId="77777777" w:rsidR="00924C87" w:rsidRPr="00F748F9" w:rsidRDefault="00924C87" w:rsidP="007C7952">
            <w:pPr>
              <w:pStyle w:val="SGBodytext"/>
              <w:rPr>
                <w:lang w:eastAsia="en-GB"/>
              </w:rPr>
            </w:pPr>
            <w:r w:rsidRPr="00F748F9">
              <w:rPr>
                <w:lang w:eastAsia="en-GB"/>
              </w:rPr>
              <w:t>Insurance companies &amp; Pension funds</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BF91C" w14:textId="77777777" w:rsidR="00924C87" w:rsidRPr="00F748F9" w:rsidRDefault="00924C87" w:rsidP="007C7952">
            <w:pPr>
              <w:pStyle w:val="SGBodytext"/>
              <w:rPr>
                <w:lang w:eastAsia="en-GB"/>
              </w:rPr>
            </w:pPr>
            <w:r w:rsidRPr="00F748F9">
              <w:rPr>
                <w:lang w:eastAsia="en-GB"/>
              </w:rPr>
              <w:t>Insurance companies' and pension funds' GVA</w:t>
            </w:r>
          </w:p>
        </w:tc>
      </w:tr>
      <w:tr w:rsidR="00B40CBB" w:rsidRPr="00F748F9" w14:paraId="3C811011" w14:textId="77777777" w:rsidTr="00924C87">
        <w:trPr>
          <w:trHeight w:val="25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7498E6" w14:textId="77777777" w:rsidR="00924C87" w:rsidRPr="00F748F9" w:rsidRDefault="00924C87" w:rsidP="007C7952">
            <w:pPr>
              <w:pStyle w:val="SGBodytext"/>
              <w:rPr>
                <w:lang w:eastAsia="en-GB"/>
              </w:rPr>
            </w:pPr>
            <w:r w:rsidRPr="00F748F9">
              <w:rPr>
                <w:lang w:eastAsia="en-GB"/>
              </w:rPr>
              <w:t>Other financial institutions and other</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66E3C9" w14:textId="77777777" w:rsidR="00924C87" w:rsidRPr="00F748F9" w:rsidRDefault="00924C87" w:rsidP="007C7952">
            <w:pPr>
              <w:pStyle w:val="SGBodytext"/>
              <w:rPr>
                <w:lang w:eastAsia="en-GB"/>
              </w:rPr>
            </w:pPr>
            <w:r w:rsidRPr="00F748F9">
              <w:rPr>
                <w:lang w:eastAsia="en-GB"/>
              </w:rPr>
              <w:t>Financial Auxiliary GVA</w:t>
            </w:r>
          </w:p>
        </w:tc>
      </w:tr>
      <w:tr w:rsidR="00B40CBB" w:rsidRPr="00F748F9" w14:paraId="4CC1D733" w14:textId="77777777" w:rsidTr="00924C87">
        <w:trPr>
          <w:trHeight w:val="25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522C20" w14:textId="77777777" w:rsidR="00924C87" w:rsidRPr="00F748F9" w:rsidRDefault="00924C87" w:rsidP="007C7952">
            <w:pPr>
              <w:pStyle w:val="SGBodytext"/>
              <w:rPr>
                <w:lang w:eastAsia="en-GB"/>
              </w:rPr>
            </w:pPr>
            <w:r w:rsidRPr="00F748F9">
              <w:rPr>
                <w:lang w:eastAsia="en-GB"/>
              </w:rPr>
              <w:t>Monetary financial institutions</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EF5072" w14:textId="77777777" w:rsidR="00924C87" w:rsidRPr="00F748F9" w:rsidRDefault="00924C87" w:rsidP="007C7952">
            <w:pPr>
              <w:pStyle w:val="SGBodytext"/>
              <w:rPr>
                <w:lang w:eastAsia="en-GB"/>
              </w:rPr>
            </w:pPr>
            <w:r w:rsidRPr="00F748F9">
              <w:rPr>
                <w:lang w:eastAsia="en-GB"/>
              </w:rPr>
              <w:t>Banking GVA</w:t>
            </w:r>
          </w:p>
        </w:tc>
      </w:tr>
      <w:tr w:rsidR="00B40CBB" w:rsidRPr="00F748F9" w14:paraId="6BA6A8EF" w14:textId="77777777" w:rsidTr="00924C87">
        <w:trPr>
          <w:trHeight w:val="25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69B0D2" w14:textId="77777777" w:rsidR="00924C87" w:rsidRPr="00F748F9" w:rsidRDefault="00924C87" w:rsidP="007C7952">
            <w:pPr>
              <w:pStyle w:val="SGBodytext"/>
              <w:rPr>
                <w:lang w:eastAsia="en-GB"/>
              </w:rPr>
            </w:pPr>
            <w:r w:rsidRPr="00F748F9">
              <w:rPr>
                <w:lang w:eastAsia="en-GB"/>
              </w:rPr>
              <w:t>Households</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31D575" w14:textId="77777777" w:rsidR="00924C87" w:rsidRPr="00F748F9" w:rsidRDefault="00924C87" w:rsidP="007C7952">
            <w:pPr>
              <w:pStyle w:val="SGBodytext"/>
              <w:rPr>
                <w:lang w:eastAsia="en-GB"/>
              </w:rPr>
            </w:pPr>
            <w:r w:rsidRPr="00F748F9">
              <w:rPr>
                <w:lang w:eastAsia="en-GB"/>
              </w:rPr>
              <w:t>Population</w:t>
            </w:r>
          </w:p>
        </w:tc>
      </w:tr>
      <w:tr w:rsidR="00B40CBB" w:rsidRPr="00F748F9" w14:paraId="2097C279" w14:textId="77777777" w:rsidTr="00924C87">
        <w:trPr>
          <w:trHeight w:val="25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BC6BE" w14:textId="77777777" w:rsidR="00924C87" w:rsidRPr="00F748F9" w:rsidRDefault="00924C87" w:rsidP="007C7952">
            <w:pPr>
              <w:pStyle w:val="SGBodytext"/>
              <w:rPr>
                <w:lang w:eastAsia="en-GB"/>
              </w:rPr>
            </w:pPr>
            <w:r w:rsidRPr="00F748F9">
              <w:rPr>
                <w:lang w:eastAsia="en-GB"/>
              </w:rPr>
              <w:t>Total</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1B10FE" w14:textId="31C45484" w:rsidR="00924C87" w:rsidRPr="00F748F9" w:rsidRDefault="00924C87" w:rsidP="007C7952">
            <w:pPr>
              <w:pStyle w:val="SGBodytext"/>
              <w:rPr>
                <w:lang w:eastAsia="en-GB"/>
              </w:rPr>
            </w:pPr>
            <w:r w:rsidRPr="00F748F9">
              <w:rPr>
                <w:lang w:eastAsia="en-GB"/>
              </w:rPr>
              <w:t>Weighted average</w:t>
            </w:r>
            <w:r w:rsidR="00AF1A5D" w:rsidRPr="00F748F9">
              <w:rPr>
                <w:lang w:eastAsia="en-GB"/>
              </w:rPr>
              <w:t xml:space="preserve"> of the above</w:t>
            </w:r>
          </w:p>
        </w:tc>
      </w:tr>
    </w:tbl>
    <w:p w14:paraId="4B167E7A" w14:textId="77777777" w:rsidR="00924C87" w:rsidRPr="00F748F9" w:rsidRDefault="00924C87" w:rsidP="008D39E0">
      <w:pPr>
        <w:pStyle w:val="SGBodyIndent"/>
        <w:tabs>
          <w:tab w:val="left" w:pos="360"/>
        </w:tabs>
        <w:spacing w:before="100" w:beforeAutospacing="1" w:after="100" w:afterAutospacing="1" w:line="240" w:lineRule="auto"/>
        <w:ind w:left="142" w:right="113"/>
        <w:rPr>
          <w:sz w:val="24"/>
          <w:szCs w:val="24"/>
        </w:rPr>
      </w:pPr>
    </w:p>
    <w:p w14:paraId="30C5737B" w14:textId="34FEA2D6" w:rsidR="00924C87" w:rsidRPr="00F748F9" w:rsidRDefault="00924C87" w:rsidP="007C7952">
      <w:pPr>
        <w:pStyle w:val="SGBodytext"/>
      </w:pPr>
      <w:r w:rsidRPr="00F748F9">
        <w:t>At the same time Scotland is assigned a notional (population) share of the UK debt. These are combined together to create estimated flows between Scotland and the rest of the UK.</w:t>
      </w:r>
    </w:p>
    <w:p w14:paraId="7238B995" w14:textId="6AEA86C4" w:rsidR="003A634B" w:rsidRPr="00F748F9" w:rsidRDefault="004D059D" w:rsidP="007C7952">
      <w:pPr>
        <w:pStyle w:val="SGBodytext"/>
        <w:rPr>
          <w:rStyle w:val="Strong"/>
          <w:rFonts w:cs="Times New Roman"/>
          <w:sz w:val="22"/>
        </w:rPr>
      </w:pPr>
      <w:r>
        <w:rPr>
          <w:rStyle w:val="Strong"/>
        </w:rPr>
        <w:t xml:space="preserve">4.4 </w:t>
      </w:r>
      <w:r w:rsidR="003A634B" w:rsidRPr="00F748F9">
        <w:rPr>
          <w:rStyle w:val="Strong"/>
        </w:rPr>
        <w:t xml:space="preserve">Other Investment flows with </w:t>
      </w:r>
      <w:r>
        <w:rPr>
          <w:rStyle w:val="Strong"/>
        </w:rPr>
        <w:t xml:space="preserve">ROW </w:t>
      </w:r>
    </w:p>
    <w:p w14:paraId="20A65C12" w14:textId="77777777" w:rsidR="00FD65D6" w:rsidRPr="00F748F9" w:rsidRDefault="003A634B" w:rsidP="007C7952">
      <w:pPr>
        <w:pStyle w:val="SGBodytext"/>
      </w:pPr>
      <w:r w:rsidRPr="00F748F9">
        <w:rPr>
          <w:noProof/>
          <w:lang w:eastAsia="en-GB"/>
        </w:rPr>
        <w:lastRenderedPageBreak/>
        <w:drawing>
          <wp:inline distT="0" distB="0" distL="0" distR="0" wp14:anchorId="11F9B8EB" wp14:editId="35374FD0">
            <wp:extent cx="5730875" cy="4468495"/>
            <wp:effectExtent l="0" t="0" r="3175"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4468495"/>
                    </a:xfrm>
                    <a:prstGeom prst="rect">
                      <a:avLst/>
                    </a:prstGeom>
                    <a:noFill/>
                  </pic:spPr>
                </pic:pic>
              </a:graphicData>
            </a:graphic>
          </wp:inline>
        </w:drawing>
      </w:r>
    </w:p>
    <w:p w14:paraId="5B15DC75" w14:textId="52E39CBA" w:rsidR="00924C87" w:rsidRPr="00F748F9" w:rsidRDefault="00FB1BAE" w:rsidP="007C7952">
      <w:pPr>
        <w:pStyle w:val="SGBodytext"/>
        <w:rPr>
          <w:rStyle w:val="Strong"/>
        </w:rPr>
      </w:pPr>
      <w:r>
        <w:rPr>
          <w:rStyle w:val="Strong"/>
        </w:rPr>
        <w:t xml:space="preserve">4.4 </w:t>
      </w:r>
      <w:r w:rsidR="00924C87" w:rsidRPr="00F748F9">
        <w:rPr>
          <w:rStyle w:val="Strong"/>
        </w:rPr>
        <w:t xml:space="preserve">Other Investment flows with </w:t>
      </w:r>
      <w:proofErr w:type="spellStart"/>
      <w:r>
        <w:rPr>
          <w:rStyle w:val="Strong"/>
        </w:rPr>
        <w:t>RUK</w:t>
      </w:r>
      <w:proofErr w:type="spellEnd"/>
    </w:p>
    <w:p w14:paraId="3EDDA077" w14:textId="387D5DB6" w:rsidR="00924C87" w:rsidRPr="00F748F9" w:rsidRDefault="00CE759A" w:rsidP="007C7952">
      <w:pPr>
        <w:pStyle w:val="SGBodytext"/>
      </w:pPr>
      <w:r w:rsidRPr="00F748F9">
        <w:rPr>
          <w:noProof/>
          <w:lang w:eastAsia="en-GB"/>
        </w:rPr>
        <w:drawing>
          <wp:inline distT="0" distB="0" distL="0" distR="0" wp14:anchorId="3CC30BDF" wp14:editId="03A15AAE">
            <wp:extent cx="6116320" cy="170528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6320" cy="1705287"/>
                    </a:xfrm>
                    <a:prstGeom prst="rect">
                      <a:avLst/>
                    </a:prstGeom>
                    <a:noFill/>
                    <a:ln>
                      <a:noFill/>
                    </a:ln>
                  </pic:spPr>
                </pic:pic>
              </a:graphicData>
            </a:graphic>
          </wp:inline>
        </w:drawing>
      </w:r>
    </w:p>
    <w:p w14:paraId="72FDDD71" w14:textId="6E856EDC" w:rsidR="00A06073" w:rsidRPr="00F748F9" w:rsidRDefault="00FB1BAE" w:rsidP="007C7952">
      <w:pPr>
        <w:pStyle w:val="SGBodytext"/>
        <w:rPr>
          <w:rStyle w:val="Strong"/>
        </w:rPr>
      </w:pPr>
      <w:r>
        <w:rPr>
          <w:rStyle w:val="Strong"/>
        </w:rPr>
        <w:t xml:space="preserve">4.5 </w:t>
      </w:r>
      <w:r w:rsidR="00A06073" w:rsidRPr="00F748F9">
        <w:rPr>
          <w:rStyle w:val="Strong"/>
        </w:rPr>
        <w:t xml:space="preserve">Other primary income flows with </w:t>
      </w:r>
      <w:r>
        <w:rPr>
          <w:rStyle w:val="Strong"/>
        </w:rPr>
        <w:t>ROW</w:t>
      </w:r>
    </w:p>
    <w:tbl>
      <w:tblPr>
        <w:tblW w:w="10152" w:type="dxa"/>
        <w:tblInd w:w="93" w:type="dxa"/>
        <w:tblLook w:val="04A0" w:firstRow="1" w:lastRow="0" w:firstColumn="1" w:lastColumn="0" w:noHBand="0" w:noVBand="1"/>
      </w:tblPr>
      <w:tblGrid>
        <w:gridCol w:w="4736"/>
        <w:gridCol w:w="1383"/>
        <w:gridCol w:w="4126"/>
      </w:tblGrid>
      <w:tr w:rsidR="002051CA" w:rsidRPr="007D19FE" w14:paraId="207D772D" w14:textId="77777777" w:rsidTr="003D6CF1">
        <w:trPr>
          <w:trHeight w:val="255"/>
        </w:trPr>
        <w:tc>
          <w:tcPr>
            <w:tcW w:w="4736" w:type="dxa"/>
            <w:tcBorders>
              <w:top w:val="single" w:sz="4" w:space="0" w:color="auto"/>
              <w:left w:val="single" w:sz="4" w:space="0" w:color="auto"/>
              <w:bottom w:val="single" w:sz="4" w:space="0" w:color="auto"/>
              <w:right w:val="nil"/>
            </w:tcBorders>
            <w:shd w:val="clear" w:color="auto" w:fill="auto"/>
            <w:noWrap/>
            <w:vAlign w:val="bottom"/>
            <w:hideMark/>
          </w:tcPr>
          <w:p w14:paraId="3C6E003F" w14:textId="77777777" w:rsidR="00FD65D6" w:rsidRPr="007C7952" w:rsidRDefault="00FD65D6" w:rsidP="007C7952">
            <w:pPr>
              <w:pStyle w:val="SGBodytext"/>
              <w:rPr>
                <w:lang w:eastAsia="en-GB"/>
              </w:rPr>
            </w:pPr>
            <w:bookmarkStart w:id="26" w:name="_Toc506751776"/>
            <w:r w:rsidRPr="007C7952">
              <w:rPr>
                <w:lang w:eastAsia="en-GB"/>
              </w:rPr>
              <w:t>Category</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C3E36" w14:textId="77777777" w:rsidR="00FD65D6" w:rsidRPr="007C7952" w:rsidRDefault="00FD65D6" w:rsidP="007C7952">
            <w:pPr>
              <w:pStyle w:val="SGBodytext"/>
              <w:rPr>
                <w:lang w:eastAsia="en-GB"/>
              </w:rPr>
            </w:pPr>
            <w:r w:rsidRPr="007C7952">
              <w:rPr>
                <w:lang w:eastAsia="en-GB"/>
              </w:rPr>
              <w:t>Series code</w:t>
            </w:r>
          </w:p>
        </w:tc>
        <w:tc>
          <w:tcPr>
            <w:tcW w:w="4126" w:type="dxa"/>
            <w:tcBorders>
              <w:top w:val="single" w:sz="4" w:space="0" w:color="auto"/>
              <w:left w:val="nil"/>
              <w:bottom w:val="single" w:sz="4" w:space="0" w:color="auto"/>
              <w:right w:val="single" w:sz="4" w:space="0" w:color="auto"/>
            </w:tcBorders>
            <w:shd w:val="clear" w:color="auto" w:fill="auto"/>
            <w:noWrap/>
            <w:vAlign w:val="bottom"/>
            <w:hideMark/>
          </w:tcPr>
          <w:p w14:paraId="67BB88D6" w14:textId="77777777" w:rsidR="00FD65D6" w:rsidRPr="007C7952" w:rsidRDefault="00FD65D6" w:rsidP="007C7952">
            <w:pPr>
              <w:pStyle w:val="SGBodytext"/>
              <w:rPr>
                <w:lang w:eastAsia="en-GB"/>
              </w:rPr>
            </w:pPr>
            <w:r w:rsidRPr="007C7952">
              <w:rPr>
                <w:lang w:eastAsia="en-GB"/>
              </w:rPr>
              <w:t>Apportionment</w:t>
            </w:r>
          </w:p>
        </w:tc>
      </w:tr>
      <w:tr w:rsidR="002051CA" w:rsidRPr="007D19FE" w14:paraId="14D61A9E" w14:textId="77777777" w:rsidTr="003D6CF1">
        <w:trPr>
          <w:trHeight w:val="255"/>
        </w:trPr>
        <w:tc>
          <w:tcPr>
            <w:tcW w:w="4736" w:type="dxa"/>
            <w:tcBorders>
              <w:top w:val="nil"/>
              <w:left w:val="single" w:sz="4" w:space="0" w:color="auto"/>
              <w:bottom w:val="nil"/>
              <w:right w:val="nil"/>
            </w:tcBorders>
            <w:shd w:val="clear" w:color="auto" w:fill="auto"/>
            <w:noWrap/>
            <w:vAlign w:val="bottom"/>
            <w:hideMark/>
          </w:tcPr>
          <w:p w14:paraId="0851AF60" w14:textId="77777777" w:rsidR="00FD65D6" w:rsidRPr="007C7952" w:rsidRDefault="00FD65D6" w:rsidP="007C7952">
            <w:pPr>
              <w:pStyle w:val="SGBodytext"/>
              <w:rPr>
                <w:lang w:eastAsia="en-GB"/>
              </w:rPr>
            </w:pPr>
            <w:r w:rsidRPr="007C7952">
              <w:rPr>
                <w:lang w:eastAsia="en-GB"/>
              </w:rPr>
              <w:t>Inflows from EU institutions</w:t>
            </w:r>
          </w:p>
        </w:tc>
        <w:tc>
          <w:tcPr>
            <w:tcW w:w="1290" w:type="dxa"/>
            <w:tcBorders>
              <w:top w:val="nil"/>
              <w:left w:val="single" w:sz="4" w:space="0" w:color="auto"/>
              <w:bottom w:val="nil"/>
              <w:right w:val="single" w:sz="4" w:space="0" w:color="auto"/>
            </w:tcBorders>
            <w:shd w:val="clear" w:color="auto" w:fill="auto"/>
            <w:noWrap/>
            <w:vAlign w:val="bottom"/>
            <w:hideMark/>
          </w:tcPr>
          <w:p w14:paraId="40C1A7ED" w14:textId="15676BED" w:rsidR="00FD65D6" w:rsidRPr="007C7952" w:rsidRDefault="00FD65D6" w:rsidP="007C7952">
            <w:pPr>
              <w:pStyle w:val="SGBodytext"/>
              <w:rPr>
                <w:lang w:eastAsia="en-GB"/>
              </w:rPr>
            </w:pPr>
          </w:p>
        </w:tc>
        <w:tc>
          <w:tcPr>
            <w:tcW w:w="4126" w:type="dxa"/>
            <w:tcBorders>
              <w:top w:val="nil"/>
              <w:left w:val="nil"/>
              <w:bottom w:val="nil"/>
              <w:right w:val="single" w:sz="4" w:space="0" w:color="auto"/>
            </w:tcBorders>
            <w:shd w:val="clear" w:color="auto" w:fill="auto"/>
            <w:noWrap/>
            <w:vAlign w:val="bottom"/>
            <w:hideMark/>
          </w:tcPr>
          <w:p w14:paraId="605415D3" w14:textId="17E45885" w:rsidR="00FD65D6" w:rsidRPr="007C7952" w:rsidRDefault="00FD65D6" w:rsidP="007C7952">
            <w:pPr>
              <w:pStyle w:val="SGBodytext"/>
              <w:rPr>
                <w:lang w:eastAsia="en-GB"/>
              </w:rPr>
            </w:pPr>
          </w:p>
        </w:tc>
      </w:tr>
      <w:tr w:rsidR="002051CA" w:rsidRPr="007D19FE" w14:paraId="698D6F19" w14:textId="77777777" w:rsidTr="003D6CF1">
        <w:trPr>
          <w:trHeight w:val="255"/>
        </w:trPr>
        <w:tc>
          <w:tcPr>
            <w:tcW w:w="4736" w:type="dxa"/>
            <w:tcBorders>
              <w:top w:val="nil"/>
              <w:left w:val="single" w:sz="4" w:space="0" w:color="auto"/>
              <w:bottom w:val="single" w:sz="4" w:space="0" w:color="auto"/>
              <w:right w:val="nil"/>
            </w:tcBorders>
            <w:shd w:val="clear" w:color="auto" w:fill="auto"/>
            <w:noWrap/>
            <w:vAlign w:val="bottom"/>
            <w:hideMark/>
          </w:tcPr>
          <w:p w14:paraId="74C7E681" w14:textId="77777777" w:rsidR="00FD65D6" w:rsidRPr="007C7952" w:rsidRDefault="00FD65D6" w:rsidP="007C7952">
            <w:pPr>
              <w:pStyle w:val="SGBodytext"/>
              <w:rPr>
                <w:lang w:eastAsia="en-GB"/>
              </w:rPr>
            </w:pPr>
            <w:r w:rsidRPr="007C7952">
              <w:rPr>
                <w:lang w:eastAsia="en-GB"/>
              </w:rPr>
              <w:t>Agriculture Guarantee Fund - subsidies</w:t>
            </w:r>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33E2CB2A" w14:textId="77777777" w:rsidR="00FD65D6" w:rsidRPr="007C7952" w:rsidRDefault="00FD65D6" w:rsidP="007C7952">
            <w:pPr>
              <w:pStyle w:val="SGBodytext"/>
              <w:rPr>
                <w:lang w:eastAsia="en-GB"/>
              </w:rPr>
            </w:pPr>
            <w:proofErr w:type="spellStart"/>
            <w:r w:rsidRPr="007C7952">
              <w:rPr>
                <w:lang w:eastAsia="en-GB"/>
              </w:rPr>
              <w:t>MU24</w:t>
            </w:r>
            <w:proofErr w:type="spellEnd"/>
          </w:p>
        </w:tc>
        <w:tc>
          <w:tcPr>
            <w:tcW w:w="4126" w:type="dxa"/>
            <w:tcBorders>
              <w:top w:val="nil"/>
              <w:left w:val="nil"/>
              <w:bottom w:val="single" w:sz="4" w:space="0" w:color="auto"/>
              <w:right w:val="single" w:sz="4" w:space="0" w:color="auto"/>
            </w:tcBorders>
            <w:shd w:val="clear" w:color="auto" w:fill="auto"/>
            <w:noWrap/>
            <w:vAlign w:val="bottom"/>
            <w:hideMark/>
          </w:tcPr>
          <w:p w14:paraId="1E98DE1B" w14:textId="77777777" w:rsidR="00FD65D6" w:rsidRPr="007C7952" w:rsidRDefault="00FD65D6" w:rsidP="007C7952">
            <w:pPr>
              <w:pStyle w:val="SGBodytext"/>
              <w:rPr>
                <w:lang w:eastAsia="en-GB"/>
              </w:rPr>
            </w:pPr>
            <w:r w:rsidRPr="007C7952">
              <w:rPr>
                <w:lang w:eastAsia="en-GB"/>
              </w:rPr>
              <w:t>Scottish share of EU agriculture subsidies</w:t>
            </w:r>
          </w:p>
        </w:tc>
      </w:tr>
      <w:tr w:rsidR="002051CA" w:rsidRPr="007D19FE" w14:paraId="3A7293A2" w14:textId="77777777" w:rsidTr="003D6CF1">
        <w:trPr>
          <w:trHeight w:val="255"/>
        </w:trPr>
        <w:tc>
          <w:tcPr>
            <w:tcW w:w="4736" w:type="dxa"/>
            <w:tcBorders>
              <w:top w:val="nil"/>
              <w:left w:val="single" w:sz="4" w:space="0" w:color="auto"/>
              <w:bottom w:val="nil"/>
              <w:right w:val="nil"/>
            </w:tcBorders>
            <w:shd w:val="clear" w:color="auto" w:fill="auto"/>
            <w:noWrap/>
            <w:vAlign w:val="bottom"/>
            <w:hideMark/>
          </w:tcPr>
          <w:p w14:paraId="71EC023F" w14:textId="77777777" w:rsidR="00FD65D6" w:rsidRPr="007C7952" w:rsidRDefault="00FD65D6" w:rsidP="007C7952">
            <w:pPr>
              <w:pStyle w:val="SGBodytext"/>
              <w:rPr>
                <w:lang w:eastAsia="en-GB"/>
              </w:rPr>
            </w:pPr>
            <w:r w:rsidRPr="007C7952">
              <w:rPr>
                <w:lang w:eastAsia="en-GB"/>
              </w:rPr>
              <w:t>Outflows to EU institutions</w:t>
            </w:r>
          </w:p>
        </w:tc>
        <w:tc>
          <w:tcPr>
            <w:tcW w:w="1290" w:type="dxa"/>
            <w:tcBorders>
              <w:top w:val="nil"/>
              <w:left w:val="single" w:sz="4" w:space="0" w:color="auto"/>
              <w:bottom w:val="nil"/>
              <w:right w:val="single" w:sz="4" w:space="0" w:color="auto"/>
            </w:tcBorders>
            <w:shd w:val="clear" w:color="auto" w:fill="auto"/>
            <w:noWrap/>
            <w:vAlign w:val="bottom"/>
            <w:hideMark/>
          </w:tcPr>
          <w:p w14:paraId="061F27DF" w14:textId="14D4CEAA" w:rsidR="00FD65D6" w:rsidRPr="007C7952" w:rsidRDefault="00FD65D6" w:rsidP="007C7952">
            <w:pPr>
              <w:pStyle w:val="SGBodytext"/>
              <w:rPr>
                <w:lang w:eastAsia="en-GB"/>
              </w:rPr>
            </w:pPr>
          </w:p>
        </w:tc>
        <w:tc>
          <w:tcPr>
            <w:tcW w:w="4126" w:type="dxa"/>
            <w:tcBorders>
              <w:top w:val="nil"/>
              <w:left w:val="nil"/>
              <w:bottom w:val="nil"/>
              <w:right w:val="single" w:sz="4" w:space="0" w:color="auto"/>
            </w:tcBorders>
            <w:shd w:val="clear" w:color="auto" w:fill="auto"/>
            <w:noWrap/>
            <w:vAlign w:val="bottom"/>
            <w:hideMark/>
          </w:tcPr>
          <w:p w14:paraId="74494896" w14:textId="28110E3F" w:rsidR="00FD65D6" w:rsidRPr="007C7952" w:rsidRDefault="00FD65D6" w:rsidP="007C7952">
            <w:pPr>
              <w:pStyle w:val="SGBodytext"/>
              <w:rPr>
                <w:lang w:eastAsia="en-GB"/>
              </w:rPr>
            </w:pPr>
          </w:p>
        </w:tc>
      </w:tr>
      <w:tr w:rsidR="002051CA" w:rsidRPr="007D19FE" w14:paraId="2257A6DA" w14:textId="77777777" w:rsidTr="003D6CF1">
        <w:trPr>
          <w:trHeight w:val="255"/>
        </w:trPr>
        <w:tc>
          <w:tcPr>
            <w:tcW w:w="4736" w:type="dxa"/>
            <w:tcBorders>
              <w:top w:val="nil"/>
              <w:left w:val="single" w:sz="4" w:space="0" w:color="auto"/>
              <w:bottom w:val="nil"/>
              <w:right w:val="nil"/>
            </w:tcBorders>
            <w:shd w:val="clear" w:color="auto" w:fill="auto"/>
            <w:noWrap/>
            <w:vAlign w:val="bottom"/>
            <w:hideMark/>
          </w:tcPr>
          <w:p w14:paraId="58969254" w14:textId="77777777" w:rsidR="00FD65D6" w:rsidRPr="007C7952" w:rsidRDefault="00FD65D6" w:rsidP="007C7952">
            <w:pPr>
              <w:pStyle w:val="SGBodytext"/>
              <w:rPr>
                <w:lang w:eastAsia="en-GB"/>
              </w:rPr>
            </w:pPr>
            <w:r w:rsidRPr="007C7952">
              <w:rPr>
                <w:lang w:eastAsia="en-GB"/>
              </w:rPr>
              <w:t>Customs duties and Agricultural levies</w:t>
            </w:r>
          </w:p>
        </w:tc>
        <w:tc>
          <w:tcPr>
            <w:tcW w:w="1290" w:type="dxa"/>
            <w:tcBorders>
              <w:top w:val="nil"/>
              <w:left w:val="single" w:sz="4" w:space="0" w:color="auto"/>
              <w:bottom w:val="nil"/>
              <w:right w:val="single" w:sz="4" w:space="0" w:color="auto"/>
            </w:tcBorders>
            <w:shd w:val="clear" w:color="auto" w:fill="auto"/>
            <w:noWrap/>
            <w:vAlign w:val="bottom"/>
            <w:hideMark/>
          </w:tcPr>
          <w:p w14:paraId="2378909C" w14:textId="77777777" w:rsidR="00FD65D6" w:rsidRPr="007C7952" w:rsidRDefault="00FD65D6" w:rsidP="007C7952">
            <w:pPr>
              <w:pStyle w:val="SGBodytext"/>
              <w:rPr>
                <w:lang w:eastAsia="en-GB"/>
              </w:rPr>
            </w:pPr>
            <w:r w:rsidRPr="007C7952">
              <w:rPr>
                <w:lang w:eastAsia="en-GB"/>
              </w:rPr>
              <w:t>QYRD</w:t>
            </w:r>
          </w:p>
        </w:tc>
        <w:tc>
          <w:tcPr>
            <w:tcW w:w="4126" w:type="dxa"/>
            <w:tcBorders>
              <w:top w:val="nil"/>
              <w:left w:val="nil"/>
              <w:bottom w:val="nil"/>
              <w:right w:val="single" w:sz="4" w:space="0" w:color="auto"/>
            </w:tcBorders>
            <w:shd w:val="clear" w:color="auto" w:fill="auto"/>
            <w:noWrap/>
            <w:vAlign w:val="bottom"/>
            <w:hideMark/>
          </w:tcPr>
          <w:p w14:paraId="63508052" w14:textId="77777777" w:rsidR="00FD65D6" w:rsidRPr="007C7952" w:rsidRDefault="00FD65D6" w:rsidP="007C7952">
            <w:pPr>
              <w:pStyle w:val="SGBodytext"/>
              <w:rPr>
                <w:lang w:eastAsia="en-GB"/>
              </w:rPr>
            </w:pPr>
            <w:r w:rsidRPr="007C7952">
              <w:rPr>
                <w:lang w:eastAsia="en-GB"/>
              </w:rPr>
              <w:t>Population share</w:t>
            </w:r>
          </w:p>
        </w:tc>
      </w:tr>
      <w:tr w:rsidR="002051CA" w:rsidRPr="007D19FE" w14:paraId="665AD901" w14:textId="77777777" w:rsidTr="003D6CF1">
        <w:trPr>
          <w:trHeight w:val="255"/>
        </w:trPr>
        <w:tc>
          <w:tcPr>
            <w:tcW w:w="4736" w:type="dxa"/>
            <w:tcBorders>
              <w:top w:val="nil"/>
              <w:left w:val="single" w:sz="4" w:space="0" w:color="auto"/>
              <w:bottom w:val="nil"/>
              <w:right w:val="nil"/>
            </w:tcBorders>
            <w:shd w:val="clear" w:color="auto" w:fill="auto"/>
            <w:noWrap/>
            <w:vAlign w:val="bottom"/>
            <w:hideMark/>
          </w:tcPr>
          <w:p w14:paraId="17A8C39A" w14:textId="77777777" w:rsidR="00FD65D6" w:rsidRPr="007C7952" w:rsidRDefault="00FD65D6" w:rsidP="007C7952">
            <w:pPr>
              <w:pStyle w:val="SGBodytext"/>
              <w:rPr>
                <w:lang w:eastAsia="en-GB"/>
              </w:rPr>
            </w:pPr>
            <w:r w:rsidRPr="007C7952">
              <w:rPr>
                <w:lang w:eastAsia="en-GB"/>
              </w:rPr>
              <w:t>Sugar levy</w:t>
            </w:r>
          </w:p>
        </w:tc>
        <w:tc>
          <w:tcPr>
            <w:tcW w:w="1290" w:type="dxa"/>
            <w:tcBorders>
              <w:top w:val="nil"/>
              <w:left w:val="single" w:sz="4" w:space="0" w:color="auto"/>
              <w:bottom w:val="nil"/>
              <w:right w:val="single" w:sz="4" w:space="0" w:color="auto"/>
            </w:tcBorders>
            <w:shd w:val="clear" w:color="auto" w:fill="auto"/>
            <w:noWrap/>
            <w:vAlign w:val="bottom"/>
            <w:hideMark/>
          </w:tcPr>
          <w:p w14:paraId="4064AC95" w14:textId="77777777" w:rsidR="00FD65D6" w:rsidRPr="007C7952" w:rsidRDefault="00FD65D6" w:rsidP="007C7952">
            <w:pPr>
              <w:pStyle w:val="SGBodytext"/>
              <w:rPr>
                <w:lang w:eastAsia="en-GB"/>
              </w:rPr>
            </w:pPr>
            <w:r w:rsidRPr="007C7952">
              <w:rPr>
                <w:lang w:eastAsia="en-GB"/>
              </w:rPr>
              <w:t>GTBA</w:t>
            </w:r>
          </w:p>
        </w:tc>
        <w:tc>
          <w:tcPr>
            <w:tcW w:w="4126" w:type="dxa"/>
            <w:tcBorders>
              <w:top w:val="nil"/>
              <w:left w:val="nil"/>
              <w:bottom w:val="nil"/>
              <w:right w:val="single" w:sz="4" w:space="0" w:color="auto"/>
            </w:tcBorders>
            <w:shd w:val="clear" w:color="auto" w:fill="auto"/>
            <w:noWrap/>
            <w:vAlign w:val="bottom"/>
            <w:hideMark/>
          </w:tcPr>
          <w:p w14:paraId="713DAE76" w14:textId="77777777" w:rsidR="00FD65D6" w:rsidRPr="007C7952" w:rsidRDefault="00FD65D6" w:rsidP="007C7952">
            <w:pPr>
              <w:pStyle w:val="SGBodytext"/>
              <w:rPr>
                <w:lang w:eastAsia="en-GB"/>
              </w:rPr>
            </w:pPr>
            <w:r w:rsidRPr="007C7952">
              <w:rPr>
                <w:lang w:eastAsia="en-GB"/>
              </w:rPr>
              <w:t>Population share</w:t>
            </w:r>
          </w:p>
        </w:tc>
      </w:tr>
      <w:tr w:rsidR="002051CA" w:rsidRPr="007D19FE" w14:paraId="5843F1AB" w14:textId="77777777" w:rsidTr="003D6CF1">
        <w:trPr>
          <w:trHeight w:val="95"/>
        </w:trPr>
        <w:tc>
          <w:tcPr>
            <w:tcW w:w="4736" w:type="dxa"/>
            <w:tcBorders>
              <w:top w:val="nil"/>
              <w:left w:val="single" w:sz="4" w:space="0" w:color="auto"/>
              <w:bottom w:val="single" w:sz="4" w:space="0" w:color="auto"/>
              <w:right w:val="nil"/>
            </w:tcBorders>
            <w:shd w:val="clear" w:color="auto" w:fill="auto"/>
            <w:noWrap/>
            <w:vAlign w:val="bottom"/>
          </w:tcPr>
          <w:p w14:paraId="3D421BBE" w14:textId="77777777" w:rsidR="00D36F27" w:rsidRPr="007C7952" w:rsidRDefault="00D36F27" w:rsidP="007C7952">
            <w:pPr>
              <w:pStyle w:val="SGBodytext"/>
              <w:rPr>
                <w:lang w:eastAsia="en-GB"/>
              </w:rPr>
            </w:pPr>
          </w:p>
        </w:tc>
        <w:tc>
          <w:tcPr>
            <w:tcW w:w="1290" w:type="dxa"/>
            <w:tcBorders>
              <w:top w:val="nil"/>
              <w:left w:val="single" w:sz="4" w:space="0" w:color="auto"/>
              <w:bottom w:val="single" w:sz="4" w:space="0" w:color="auto"/>
              <w:right w:val="single" w:sz="4" w:space="0" w:color="auto"/>
            </w:tcBorders>
            <w:shd w:val="clear" w:color="auto" w:fill="auto"/>
            <w:noWrap/>
            <w:vAlign w:val="bottom"/>
          </w:tcPr>
          <w:p w14:paraId="2C2F1606" w14:textId="77777777" w:rsidR="00D36F27" w:rsidRPr="007C7952" w:rsidRDefault="00D36F27" w:rsidP="007C7952">
            <w:pPr>
              <w:pStyle w:val="SGBodytext"/>
              <w:rPr>
                <w:lang w:eastAsia="en-GB"/>
              </w:rPr>
            </w:pPr>
          </w:p>
        </w:tc>
        <w:tc>
          <w:tcPr>
            <w:tcW w:w="4126" w:type="dxa"/>
            <w:tcBorders>
              <w:top w:val="nil"/>
              <w:left w:val="nil"/>
              <w:bottom w:val="single" w:sz="4" w:space="0" w:color="auto"/>
              <w:right w:val="single" w:sz="4" w:space="0" w:color="auto"/>
            </w:tcBorders>
            <w:shd w:val="clear" w:color="auto" w:fill="auto"/>
            <w:noWrap/>
            <w:vAlign w:val="bottom"/>
          </w:tcPr>
          <w:p w14:paraId="256CC164" w14:textId="77777777" w:rsidR="00D36F27" w:rsidRPr="007C7952" w:rsidRDefault="00D36F27" w:rsidP="007C7952">
            <w:pPr>
              <w:pStyle w:val="SGBodytext"/>
              <w:rPr>
                <w:lang w:eastAsia="en-GB"/>
              </w:rPr>
            </w:pPr>
          </w:p>
        </w:tc>
      </w:tr>
    </w:tbl>
    <w:p w14:paraId="430D39C8" w14:textId="7F025835" w:rsidR="00D36F27" w:rsidRPr="00FB1BAE" w:rsidRDefault="00FB1BAE" w:rsidP="007C7952">
      <w:pPr>
        <w:pStyle w:val="SGBodytext"/>
        <w:rPr>
          <w:rStyle w:val="Strong"/>
          <w:rFonts w:eastAsia="Cambria" w:cs="Times New Roman"/>
          <w:sz w:val="26"/>
          <w:lang w:val="en-US"/>
        </w:rPr>
      </w:pPr>
      <w:bookmarkStart w:id="27" w:name="_Toc506898977"/>
      <w:bookmarkStart w:id="28" w:name="_Toc507015573"/>
      <w:r>
        <w:rPr>
          <w:rStyle w:val="Strong"/>
        </w:rPr>
        <w:lastRenderedPageBreak/>
        <w:t xml:space="preserve">4.6 </w:t>
      </w:r>
      <w:r w:rsidRPr="00FB1BAE">
        <w:rPr>
          <w:rStyle w:val="Strong"/>
        </w:rPr>
        <w:t>R</w:t>
      </w:r>
      <w:r w:rsidR="00D36F27" w:rsidRPr="00FB1BAE">
        <w:rPr>
          <w:rStyle w:val="Strong"/>
        </w:rPr>
        <w:t xml:space="preserve">eserve Assets </w:t>
      </w:r>
      <w:r w:rsidR="003A2E11" w:rsidRPr="00FB1BAE">
        <w:rPr>
          <w:rStyle w:val="Strong"/>
        </w:rPr>
        <w:t xml:space="preserve">with </w:t>
      </w:r>
      <w:r>
        <w:rPr>
          <w:rStyle w:val="Strong"/>
        </w:rPr>
        <w:t>ROW</w:t>
      </w:r>
    </w:p>
    <w:p w14:paraId="3D556CCE" w14:textId="3B4C753F" w:rsidR="00BB06CD" w:rsidRDefault="00D36F27" w:rsidP="008D39E0">
      <w:pPr>
        <w:tabs>
          <w:tab w:val="clear" w:pos="720"/>
          <w:tab w:val="left" w:pos="0"/>
          <w:tab w:val="left" w:pos="360"/>
        </w:tabs>
        <w:spacing w:before="100" w:beforeAutospacing="1" w:after="100" w:afterAutospacing="1" w:line="240" w:lineRule="auto"/>
        <w:ind w:right="113"/>
        <w:rPr>
          <w:rFonts w:cs="Arial"/>
          <w:sz w:val="24"/>
          <w:szCs w:val="24"/>
        </w:rPr>
      </w:pPr>
      <w:r w:rsidRPr="00F748F9">
        <w:rPr>
          <w:rFonts w:cs="Arial"/>
          <w:sz w:val="24"/>
          <w:szCs w:val="24"/>
        </w:rPr>
        <w:t xml:space="preserve">Reserve assets </w:t>
      </w:r>
      <w:r w:rsidR="003A2E11" w:rsidRPr="00F748F9">
        <w:rPr>
          <w:rFonts w:cs="Arial"/>
          <w:sz w:val="24"/>
          <w:szCs w:val="24"/>
        </w:rPr>
        <w:t xml:space="preserve">(series code HHCB) </w:t>
      </w:r>
      <w:r w:rsidRPr="00F748F9">
        <w:rPr>
          <w:rFonts w:cs="Arial"/>
          <w:sz w:val="24"/>
          <w:szCs w:val="24"/>
        </w:rPr>
        <w:t>have been apportioned to Scotland using a population</w:t>
      </w:r>
      <w:bookmarkEnd w:id="26"/>
      <w:bookmarkEnd w:id="27"/>
      <w:bookmarkEnd w:id="28"/>
      <w:r w:rsidR="00AA5D7B">
        <w:rPr>
          <w:rFonts w:cs="Arial"/>
          <w:sz w:val="24"/>
          <w:szCs w:val="24"/>
        </w:rPr>
        <w:t>.</w:t>
      </w:r>
    </w:p>
    <w:p w14:paraId="78CB1352" w14:textId="77777777" w:rsidR="0046515F" w:rsidRPr="00F748F9" w:rsidRDefault="0046515F" w:rsidP="008D39E0">
      <w:pPr>
        <w:pStyle w:val="Heading2"/>
        <w:tabs>
          <w:tab w:val="left" w:pos="360"/>
        </w:tabs>
      </w:pPr>
      <w:r>
        <w:t xml:space="preserve">Future development </w:t>
      </w:r>
    </w:p>
    <w:p w14:paraId="21B12F1F" w14:textId="77777777" w:rsidR="0046515F" w:rsidRPr="00F748F9" w:rsidRDefault="0046515F" w:rsidP="007C7952">
      <w:pPr>
        <w:pStyle w:val="SGBodytext"/>
        <w:rPr>
          <w:rStyle w:val="SGBoldCharacter"/>
          <w:rFonts w:cs="Times New Roman"/>
          <w:b w:val="0"/>
          <w:sz w:val="30"/>
        </w:rPr>
      </w:pPr>
      <w:r w:rsidRPr="00F748F9">
        <w:rPr>
          <w:rStyle w:val="SGBoldCharacter"/>
          <w:b w:val="0"/>
        </w:rPr>
        <w:t xml:space="preserve">The principal aim of this project to date has been the development of a Primary Income Account for the Whole of Scotland to provide the credit and debit flows required to derive an estimate of </w:t>
      </w:r>
      <w:proofErr w:type="spellStart"/>
      <w:r w:rsidRPr="00F748F9">
        <w:rPr>
          <w:rStyle w:val="SGBoldCharacter"/>
          <w:b w:val="0"/>
        </w:rPr>
        <w:t>GNI</w:t>
      </w:r>
      <w:proofErr w:type="spellEnd"/>
      <w:r w:rsidRPr="00F748F9">
        <w:rPr>
          <w:rStyle w:val="SGBoldCharacter"/>
          <w:b w:val="0"/>
        </w:rPr>
        <w:t xml:space="preserve"> from existing GDP estimates. </w:t>
      </w:r>
      <w:r>
        <w:rPr>
          <w:rStyle w:val="SGBoldCharacter"/>
          <w:b w:val="0"/>
        </w:rPr>
        <w:t xml:space="preserve">The main aim of this update was to </w:t>
      </w:r>
      <w:r w:rsidRPr="00910C18">
        <w:rPr>
          <w:rStyle w:val="SGBoldCharacter"/>
          <w:b w:val="0"/>
        </w:rPr>
        <w:t>incorporates the</w:t>
      </w:r>
      <w:r>
        <w:rPr>
          <w:rStyle w:val="SGBoldCharacter"/>
          <w:b w:val="0"/>
        </w:rPr>
        <w:t xml:space="preserve"> latest data available from the</w:t>
      </w:r>
      <w:r w:rsidRPr="00910C18">
        <w:rPr>
          <w:rStyle w:val="SGBoldCharacter"/>
          <w:b w:val="0"/>
        </w:rPr>
        <w:t xml:space="preserve"> various data sources used </w:t>
      </w:r>
      <w:r>
        <w:rPr>
          <w:rStyle w:val="SGBoldCharacter"/>
          <w:b w:val="0"/>
        </w:rPr>
        <w:t xml:space="preserve">and provide provisional results up to 2021. </w:t>
      </w:r>
      <w:r w:rsidRPr="00F748F9">
        <w:rPr>
          <w:rStyle w:val="SGBoldCharacter"/>
          <w:b w:val="0"/>
        </w:rPr>
        <w:t xml:space="preserve"> However, there is still considerable work to be done to refine the estimates. The key data sources, modelling parameters and assumptions made have been discussed throughout this publication and in the annexes. The next steps are to challenge these assumptions and to explore whether there are additional data sources or industry intelligence that can be used to improve the quality of the estimates and reduce the uncertainty in components which are primarily based on modelling at this time. </w:t>
      </w:r>
    </w:p>
    <w:p w14:paraId="25697555" w14:textId="77777777" w:rsidR="0046515F" w:rsidRPr="00F748F9" w:rsidRDefault="0046515F" w:rsidP="007C7952">
      <w:pPr>
        <w:pStyle w:val="SGBodytext"/>
        <w:rPr>
          <w:rStyle w:val="SGBoldCharacter"/>
          <w:b w:val="0"/>
        </w:rPr>
      </w:pPr>
      <w:r w:rsidRPr="00F748F9">
        <w:rPr>
          <w:rStyle w:val="SGBoldCharacter"/>
          <w:b w:val="0"/>
        </w:rPr>
        <w:t>We are keen to discuss the strengths and limitations of this analysis with stakeholders as part of the on-going development programme over the next year.</w:t>
      </w:r>
    </w:p>
    <w:sectPr w:rsidR="0046515F" w:rsidRPr="00F748F9" w:rsidSect="00AA5D7B">
      <w:headerReference w:type="even" r:id="rId17"/>
      <w:headerReference w:type="default" r:id="rId18"/>
      <w:footerReference w:type="even" r:id="rId19"/>
      <w:footerReference w:type="default" r:id="rId20"/>
      <w:headerReference w:type="first" r:id="rId21"/>
      <w:footerReference w:type="first" r:id="rId22"/>
      <w:pgSz w:w="11900" w:h="16840" w:code="9"/>
      <w:pgMar w:top="1134" w:right="1134" w:bottom="851" w:left="1134" w:header="425" w:footer="8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2"/>
    </wne:keymap>
    <wne:keymap wne:kcmPrimary="0233">
      <wne:acd wne:acdName="acd4"/>
    </wne:keymap>
    <wne:keymap wne:kcmPrimary="0234">
      <wne:acd wne:acdName="acd6"/>
    </wne:keymap>
    <wne:keymap wne:kcmPrimary="0235">
      <wne:acd wne:acdName="acd14"/>
    </wne:keymap>
    <wne:keymap wne:kcmPrimary="0236">
      <wne:acd wne:acdName="acd15"/>
    </wne:keymap>
    <wne:keymap wne:kcmPrimary="0242">
      <wne:acd wne:acdName="acd13"/>
    </wne:keymap>
    <wne:keymap wne:kcmPrimary="0254">
      <wne:fci wne:fciName="ClearAllFormatting" wne:swArg="0000"/>
    </wne:keymap>
    <wne:keymap wne:kcmPrimary="0270">
      <wne:acd wne:acdName="acd7"/>
    </wne:keymap>
    <wne:keymap wne:kcmPrimary="0271">
      <wne:acd wne:acdName="acd8"/>
    </wne:keymap>
    <wne:keymap wne:kcmPrimary="0272">
      <wne:acd wne:acdName="acd10"/>
    </wne:keymap>
    <wne:keymap wne:kcmPrimary="0273">
      <wne:acd wne:acdName="acd9"/>
    </wne:keymap>
    <wne:keymap wne:kcmPrimary="0274">
      <wne:acd wne:acdName="acd11"/>
    </wne:keymap>
    <wne:keymap wne:kcmPrimary="0275">
      <wne:acd wne:acdName="acd12"/>
    </wne:keymap>
    <wne:keymap wne:kcmPrimary="0331">
      <wne:acd wne:acdName="acd16"/>
    </wne:keymap>
    <wne:keymap wne:kcmPrimary="0332">
      <wne:acd wne:acdName="acd17"/>
    </wne:keymap>
    <wne:keymap wne:kcmPrimary="0333">
      <wne:acd wne:acdName="acd1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QAAAAEA" wne:acdName="acd0" wne:fciIndexBasedOn="0065"/>
    <wne:acd wne:acdName="acd1" wne:fciIndexBasedOn="0065"/>
    <wne:acd wne:argValue="AQAAAAIA" wne:acdName="acd2" wne:fciIndexBasedOn="0065"/>
    <wne:acd wne:acdName="acd3" wne:fciIndexBasedOn="0065"/>
    <wne:acd wne:argValue="AQAAAAMA" wne:acdName="acd4" wne:fciIndexBasedOn="0065"/>
    <wne:acd wne:acdName="acd5" wne:fciIndexBasedOn="0065"/>
    <wne:acd wne:argValue="AgBTAEcAIABHAHIAYQBwAGgALwBUAGEAYgBsAGUAIABUAGkAdABsAGUA" wne:acdName="acd6" wne:fciIndexBasedOn="0065"/>
    <wne:acd wne:argValue="AgBTAEcAIABCAG8AZAB5ACAAdABlAHgAdAA=" wne:acdName="acd7" wne:fciIndexBasedOn="0065"/>
    <wne:acd wne:argValue="AgBTAEcAIABCAG8AZAB5ACAASQBuAGQAZQBuAHQA" wne:acdName="acd8" wne:fciIndexBasedOn="0065"/>
    <wne:acd wne:argValue="AgBTAEcAIABOAHUAbQBiAGUAcgBlAGQA" wne:acdName="acd9" wne:fciIndexBasedOn="0065"/>
    <wne:acd wne:argValue="AgBTAEcAIABCAHUAbABsAGUAdAA=" wne:acdName="acd10" wne:fciIndexBasedOn="0065"/>
    <wne:acd wne:argValue="AgBTAEcAIABiAG8AeAAgAHQAZQB4AHQA" wne:acdName="acd11" wne:fciIndexBasedOn="0065"/>
    <wne:acd wne:argValue="AgBTAEcAIABCAG8AeAAgAHQAZQB4AHQAIABTAGgAYQBkAGUAZAA=" wne:acdName="acd12" wne:fciIndexBasedOn="0065"/>
    <wne:acd wne:argValue="AgBTAEcAIABCAG8AbABkACAAKABDAGgAYQByAGEAYwB0AGUAcgApAA==" wne:acdName="acd13" wne:fciIndexBasedOn="0065"/>
    <wne:acd wne:argValue="AgBTAEcAIABUAGEAYgBsAGUAIABIAGUAYQBkAGkAbgBnACAAMQA=" wne:acdName="acd14" wne:fciIndexBasedOn="0065"/>
    <wne:acd wne:argValue="AgBTAEcAIABUAGEAYgBsAGUAIABCAG8AZAB5ACAAMQA=" wne:acdName="acd15" wne:fciIndexBasedOn="0065"/>
    <wne:acd wne:argValue="AgBIAGUAYQBkAGkAbgBnACAAMQAgAHAAdQByAHAAbABlAA==" wne:acdName="acd16" wne:fciIndexBasedOn="0065"/>
    <wne:acd wne:argValue="AgBIAGUAYQBkAGkAbgBnACAAMgAgAHAAdQByAHAAbABlAA==" wne:acdName="acd17" wne:fciIndexBasedOn="0065"/>
    <wne:acd wne:argValue="AgBIAGUAYQBkAGkAbgBnACAAMwAgAHAAdQByAHAAbABlA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0EE2" w14:textId="77777777" w:rsidR="004F098E" w:rsidRPr="00B31C7F" w:rsidRDefault="004F098E" w:rsidP="00B31C7F">
      <w:r>
        <w:separator/>
      </w:r>
    </w:p>
    <w:p w14:paraId="69DCF5BA" w14:textId="77777777" w:rsidR="004F098E" w:rsidRDefault="004F098E"/>
    <w:p w14:paraId="5CCBC3B3" w14:textId="77777777" w:rsidR="004F098E" w:rsidRDefault="004F098E"/>
  </w:endnote>
  <w:endnote w:type="continuationSeparator" w:id="0">
    <w:p w14:paraId="25DBB8C2" w14:textId="77777777" w:rsidR="004F098E" w:rsidRPr="00B31C7F" w:rsidRDefault="004F098E" w:rsidP="00B31C7F">
      <w:r>
        <w:continuationSeparator/>
      </w:r>
    </w:p>
    <w:p w14:paraId="794BC0CA" w14:textId="77777777" w:rsidR="004F098E" w:rsidRDefault="004F098E"/>
    <w:p w14:paraId="6A300F2C" w14:textId="77777777" w:rsidR="004F098E" w:rsidRDefault="004F0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6DFF" w14:textId="77777777" w:rsidR="00C44EE5" w:rsidRDefault="00C44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298768"/>
      <w:docPartObj>
        <w:docPartGallery w:val="Page Numbers (Bottom of Page)"/>
        <w:docPartUnique/>
      </w:docPartObj>
    </w:sdtPr>
    <w:sdtEndPr>
      <w:rPr>
        <w:noProof/>
      </w:rPr>
    </w:sdtEndPr>
    <w:sdtContent>
      <w:p w14:paraId="330356B7" w14:textId="1FCA11FA" w:rsidR="001F0EA0" w:rsidRDefault="001F0EA0" w:rsidP="002B085C">
        <w:pPr>
          <w:pStyle w:val="Footer"/>
          <w:jc w:val="center"/>
        </w:pPr>
        <w:r>
          <w:fldChar w:fldCharType="begin"/>
        </w:r>
        <w:r>
          <w:instrText xml:space="preserve"> PAGE   \* MERGEFORMAT </w:instrText>
        </w:r>
        <w:r>
          <w:fldChar w:fldCharType="separate"/>
        </w:r>
        <w:r w:rsidR="00D34990">
          <w:rPr>
            <w:noProof/>
          </w:rPr>
          <w:t>23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9470" w14:textId="77777777" w:rsidR="00C44EE5" w:rsidRDefault="00C44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F4C05" w14:textId="77777777" w:rsidR="004F098E" w:rsidRPr="006D2D20" w:rsidRDefault="004F098E">
      <w:r>
        <w:separator/>
      </w:r>
    </w:p>
  </w:footnote>
  <w:footnote w:type="continuationSeparator" w:id="0">
    <w:p w14:paraId="6CC55A9A" w14:textId="77777777" w:rsidR="004F098E" w:rsidRPr="00B31C7F" w:rsidRDefault="004F098E" w:rsidP="00B31C7F">
      <w:r>
        <w:continuationSeparator/>
      </w:r>
    </w:p>
    <w:p w14:paraId="6A31AC85" w14:textId="77777777" w:rsidR="004F098E" w:rsidRDefault="004F098E"/>
    <w:p w14:paraId="0EB45DC9" w14:textId="77777777" w:rsidR="004F098E" w:rsidRDefault="004F098E"/>
  </w:footnote>
  <w:footnote w:id="1">
    <w:p w14:paraId="2F771B4B" w14:textId="7D88C48B" w:rsidR="001F0EA0" w:rsidRPr="000860CB" w:rsidRDefault="001F0EA0" w:rsidP="00F748F9">
      <w:pPr>
        <w:pStyle w:val="FootnoteText"/>
        <w:ind w:left="851"/>
        <w:rPr>
          <w:lang w:val="en-GB"/>
        </w:rPr>
      </w:pPr>
      <w:r>
        <w:rPr>
          <w:rStyle w:val="FootnoteReference"/>
        </w:rPr>
        <w:footnoteRef/>
      </w:r>
      <w:r>
        <w:t xml:space="preserve"> </w:t>
      </w:r>
      <w:hyperlink r:id="rId1" w:history="1">
        <w:r w:rsidRPr="0091742F">
          <w:rPr>
            <w:rStyle w:val="Hyperlink"/>
          </w:rPr>
          <w:t>https://unstats.un.org/unsd/nationalaccount/sna.asp</w:t>
        </w:r>
      </w:hyperlink>
    </w:p>
  </w:footnote>
  <w:footnote w:id="2">
    <w:p w14:paraId="2A5C5D5D" w14:textId="1E9A2C03" w:rsidR="001F0EA0" w:rsidRPr="006D1A85" w:rsidRDefault="001F0EA0" w:rsidP="00F748F9">
      <w:pPr>
        <w:pStyle w:val="FootnoteText"/>
        <w:ind w:left="851"/>
        <w:rPr>
          <w:lang w:val="en-GB"/>
        </w:rPr>
      </w:pPr>
      <w:r>
        <w:rPr>
          <w:rStyle w:val="FootnoteReference"/>
        </w:rPr>
        <w:footnoteRef/>
      </w:r>
      <w:r>
        <w:t xml:space="preserve"> </w:t>
      </w:r>
      <w:hyperlink r:id="rId2" w:history="1">
        <w:r w:rsidRPr="0091742F">
          <w:rPr>
            <w:rStyle w:val="Hyperlink"/>
          </w:rPr>
          <w:t>https://www.imf.org/external/pubs/ft/bop/2007/bop6comp.htm</w:t>
        </w:r>
      </w:hyperlink>
      <w:r>
        <w:t xml:space="preserve"> </w:t>
      </w:r>
    </w:p>
  </w:footnote>
  <w:footnote w:id="3">
    <w:p w14:paraId="60216CEF" w14:textId="500E6195" w:rsidR="001F0EA0" w:rsidRPr="00D2377D" w:rsidRDefault="001F0EA0" w:rsidP="00B71181">
      <w:pPr>
        <w:pStyle w:val="FootnoteText"/>
        <w:ind w:left="567" w:right="560" w:hanging="141"/>
        <w:rPr>
          <w:lang w:val="en-GB"/>
        </w:rPr>
      </w:pPr>
      <w:r>
        <w:rPr>
          <w:rStyle w:val="FootnoteReference"/>
        </w:rPr>
        <w:footnoteRef/>
      </w:r>
      <w:r>
        <w:t xml:space="preserve"> </w:t>
      </w:r>
      <w:hyperlink r:id="rId3" w:history="1">
        <w:r w:rsidR="00B71181">
          <w:rPr>
            <w:rStyle w:val="Hyperlink"/>
          </w:rPr>
          <w:t>UK Economic Accounts: balance of payments - Office for National Statistics (ons.gov.uk)</w:t>
        </w:r>
      </w:hyperlink>
    </w:p>
  </w:footnote>
  <w:footnote w:id="4">
    <w:p w14:paraId="253EA8E9" w14:textId="77150CDD" w:rsidR="001F0EA0" w:rsidRPr="00D2377D" w:rsidRDefault="001F0EA0" w:rsidP="00B71181">
      <w:pPr>
        <w:pStyle w:val="FootnoteText"/>
        <w:ind w:left="567" w:right="560" w:hanging="141"/>
        <w:rPr>
          <w:lang w:val="en-GB"/>
        </w:rPr>
      </w:pPr>
      <w:r>
        <w:rPr>
          <w:rStyle w:val="FootnoteReference"/>
        </w:rPr>
        <w:footnoteRef/>
      </w:r>
      <w:r>
        <w:t xml:space="preserve"> </w:t>
      </w:r>
      <w:hyperlink r:id="rId4" w:history="1">
        <w:r w:rsidR="00B71181">
          <w:rPr>
            <w:rStyle w:val="Hyperlink"/>
          </w:rPr>
          <w:t>UK Balance of Payments, The Pink Book - Office for National Statistics (ons.gov.uk)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FBCE" w14:textId="77777777" w:rsidR="00C44EE5" w:rsidRDefault="00C44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A2A4" w14:textId="45B111E3" w:rsidR="00AA5D7B" w:rsidRDefault="00AA5D7B">
    <w:pPr>
      <w:pStyle w:val="Header"/>
    </w:pPr>
  </w:p>
  <w:p w14:paraId="267CFD00" w14:textId="77777777" w:rsidR="00C44EE5" w:rsidRDefault="00C44E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41C8" w14:textId="7C606F18" w:rsidR="00C44EE5" w:rsidRDefault="00F57992" w:rsidP="00AA5D7B">
    <w:pPr>
      <w:pStyle w:val="Header"/>
      <w:ind w:left="-1134"/>
    </w:pPr>
    <w:r>
      <w:rPr>
        <w:noProof/>
        <w:lang w:val="en-GB" w:eastAsia="en-GB"/>
      </w:rPr>
      <w:drawing>
        <wp:inline distT="0" distB="0" distL="0" distR="0" wp14:anchorId="1A92F930" wp14:editId="76FAE0FC">
          <wp:extent cx="7559711" cy="1813560"/>
          <wp:effectExtent l="0" t="0" r="3175" b="0"/>
          <wp:docPr id="175" name="Picture 175" descr="A purple square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urple square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0866" cy="1830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417D3A"/>
    <w:multiLevelType w:val="hybridMultilevel"/>
    <w:tmpl w:val="651C72F8"/>
    <w:lvl w:ilvl="0" w:tplc="3328E99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B66C3"/>
    <w:multiLevelType w:val="hybridMultilevel"/>
    <w:tmpl w:val="16D0AE32"/>
    <w:lvl w:ilvl="0" w:tplc="442E2914">
      <w:start w:val="1"/>
      <w:numFmt w:val="bullet"/>
      <w:lvlText w:val="•"/>
      <w:lvlJc w:val="left"/>
      <w:pPr>
        <w:tabs>
          <w:tab w:val="num" w:pos="720"/>
        </w:tabs>
        <w:ind w:left="720" w:hanging="360"/>
      </w:pPr>
      <w:rPr>
        <w:rFonts w:ascii="Arial" w:hAnsi="Arial" w:hint="default"/>
      </w:rPr>
    </w:lvl>
    <w:lvl w:ilvl="1" w:tplc="72BC0D9C" w:tentative="1">
      <w:start w:val="1"/>
      <w:numFmt w:val="bullet"/>
      <w:lvlText w:val="•"/>
      <w:lvlJc w:val="left"/>
      <w:pPr>
        <w:tabs>
          <w:tab w:val="num" w:pos="1440"/>
        </w:tabs>
        <w:ind w:left="1440" w:hanging="360"/>
      </w:pPr>
      <w:rPr>
        <w:rFonts w:ascii="Arial" w:hAnsi="Arial" w:hint="default"/>
      </w:rPr>
    </w:lvl>
    <w:lvl w:ilvl="2" w:tplc="95CC4B62" w:tentative="1">
      <w:start w:val="1"/>
      <w:numFmt w:val="bullet"/>
      <w:lvlText w:val="•"/>
      <w:lvlJc w:val="left"/>
      <w:pPr>
        <w:tabs>
          <w:tab w:val="num" w:pos="2160"/>
        </w:tabs>
        <w:ind w:left="2160" w:hanging="360"/>
      </w:pPr>
      <w:rPr>
        <w:rFonts w:ascii="Arial" w:hAnsi="Arial" w:hint="default"/>
      </w:rPr>
    </w:lvl>
    <w:lvl w:ilvl="3" w:tplc="4F8ACA68" w:tentative="1">
      <w:start w:val="1"/>
      <w:numFmt w:val="bullet"/>
      <w:lvlText w:val="•"/>
      <w:lvlJc w:val="left"/>
      <w:pPr>
        <w:tabs>
          <w:tab w:val="num" w:pos="2880"/>
        </w:tabs>
        <w:ind w:left="2880" w:hanging="360"/>
      </w:pPr>
      <w:rPr>
        <w:rFonts w:ascii="Arial" w:hAnsi="Arial" w:hint="default"/>
      </w:rPr>
    </w:lvl>
    <w:lvl w:ilvl="4" w:tplc="6D82738A" w:tentative="1">
      <w:start w:val="1"/>
      <w:numFmt w:val="bullet"/>
      <w:lvlText w:val="•"/>
      <w:lvlJc w:val="left"/>
      <w:pPr>
        <w:tabs>
          <w:tab w:val="num" w:pos="3600"/>
        </w:tabs>
        <w:ind w:left="3600" w:hanging="360"/>
      </w:pPr>
      <w:rPr>
        <w:rFonts w:ascii="Arial" w:hAnsi="Arial" w:hint="default"/>
      </w:rPr>
    </w:lvl>
    <w:lvl w:ilvl="5" w:tplc="F2903B46" w:tentative="1">
      <w:start w:val="1"/>
      <w:numFmt w:val="bullet"/>
      <w:lvlText w:val="•"/>
      <w:lvlJc w:val="left"/>
      <w:pPr>
        <w:tabs>
          <w:tab w:val="num" w:pos="4320"/>
        </w:tabs>
        <w:ind w:left="4320" w:hanging="360"/>
      </w:pPr>
      <w:rPr>
        <w:rFonts w:ascii="Arial" w:hAnsi="Arial" w:hint="default"/>
      </w:rPr>
    </w:lvl>
    <w:lvl w:ilvl="6" w:tplc="5B707398" w:tentative="1">
      <w:start w:val="1"/>
      <w:numFmt w:val="bullet"/>
      <w:lvlText w:val="•"/>
      <w:lvlJc w:val="left"/>
      <w:pPr>
        <w:tabs>
          <w:tab w:val="num" w:pos="5040"/>
        </w:tabs>
        <w:ind w:left="5040" w:hanging="360"/>
      </w:pPr>
      <w:rPr>
        <w:rFonts w:ascii="Arial" w:hAnsi="Arial" w:hint="default"/>
      </w:rPr>
    </w:lvl>
    <w:lvl w:ilvl="7" w:tplc="1E4A6DFA" w:tentative="1">
      <w:start w:val="1"/>
      <w:numFmt w:val="bullet"/>
      <w:lvlText w:val="•"/>
      <w:lvlJc w:val="left"/>
      <w:pPr>
        <w:tabs>
          <w:tab w:val="num" w:pos="5760"/>
        </w:tabs>
        <w:ind w:left="5760" w:hanging="360"/>
      </w:pPr>
      <w:rPr>
        <w:rFonts w:ascii="Arial" w:hAnsi="Arial" w:hint="default"/>
      </w:rPr>
    </w:lvl>
    <w:lvl w:ilvl="8" w:tplc="6A42F6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543B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2F2E69"/>
    <w:multiLevelType w:val="hybridMultilevel"/>
    <w:tmpl w:val="5EF2F582"/>
    <w:lvl w:ilvl="0" w:tplc="485C5B00">
      <w:start w:val="1"/>
      <w:numFmt w:val="bullet"/>
      <w:lvlText w:val="•"/>
      <w:lvlJc w:val="left"/>
      <w:pPr>
        <w:ind w:left="85"/>
      </w:pPr>
      <w:rPr>
        <w:rFonts w:ascii="Roboto" w:eastAsia="Roboto" w:hAnsi="Roboto" w:cs="Roboto"/>
        <w:b w:val="0"/>
        <w:i w:val="0"/>
        <w:strike w:val="0"/>
        <w:dstrike w:val="0"/>
        <w:color w:val="000000"/>
        <w:sz w:val="15"/>
        <w:szCs w:val="15"/>
        <w:u w:val="none" w:color="000000"/>
        <w:bdr w:val="none" w:sz="0" w:space="0" w:color="auto"/>
        <w:shd w:val="clear" w:color="auto" w:fill="auto"/>
        <w:vertAlign w:val="baseline"/>
      </w:rPr>
    </w:lvl>
    <w:lvl w:ilvl="1" w:tplc="96E8AD44">
      <w:start w:val="1"/>
      <w:numFmt w:val="bullet"/>
      <w:lvlText w:val="o"/>
      <w:lvlJc w:val="left"/>
      <w:pPr>
        <w:ind w:left="1080"/>
      </w:pPr>
      <w:rPr>
        <w:rFonts w:ascii="Roboto" w:eastAsia="Roboto" w:hAnsi="Roboto" w:cs="Roboto"/>
        <w:b w:val="0"/>
        <w:i w:val="0"/>
        <w:strike w:val="0"/>
        <w:dstrike w:val="0"/>
        <w:color w:val="000000"/>
        <w:sz w:val="15"/>
        <w:szCs w:val="15"/>
        <w:u w:val="none" w:color="000000"/>
        <w:bdr w:val="none" w:sz="0" w:space="0" w:color="auto"/>
        <w:shd w:val="clear" w:color="auto" w:fill="auto"/>
        <w:vertAlign w:val="baseline"/>
      </w:rPr>
    </w:lvl>
    <w:lvl w:ilvl="2" w:tplc="BE7ABE08">
      <w:start w:val="1"/>
      <w:numFmt w:val="bullet"/>
      <w:lvlText w:val="▪"/>
      <w:lvlJc w:val="left"/>
      <w:pPr>
        <w:ind w:left="1800"/>
      </w:pPr>
      <w:rPr>
        <w:rFonts w:ascii="Roboto" w:eastAsia="Roboto" w:hAnsi="Roboto" w:cs="Roboto"/>
        <w:b w:val="0"/>
        <w:i w:val="0"/>
        <w:strike w:val="0"/>
        <w:dstrike w:val="0"/>
        <w:color w:val="000000"/>
        <w:sz w:val="15"/>
        <w:szCs w:val="15"/>
        <w:u w:val="none" w:color="000000"/>
        <w:bdr w:val="none" w:sz="0" w:space="0" w:color="auto"/>
        <w:shd w:val="clear" w:color="auto" w:fill="auto"/>
        <w:vertAlign w:val="baseline"/>
      </w:rPr>
    </w:lvl>
    <w:lvl w:ilvl="3" w:tplc="B456F54E">
      <w:start w:val="1"/>
      <w:numFmt w:val="bullet"/>
      <w:lvlText w:val="•"/>
      <w:lvlJc w:val="left"/>
      <w:pPr>
        <w:ind w:left="2520"/>
      </w:pPr>
      <w:rPr>
        <w:rFonts w:ascii="Roboto" w:eastAsia="Roboto" w:hAnsi="Roboto" w:cs="Roboto"/>
        <w:b w:val="0"/>
        <w:i w:val="0"/>
        <w:strike w:val="0"/>
        <w:dstrike w:val="0"/>
        <w:color w:val="000000"/>
        <w:sz w:val="15"/>
        <w:szCs w:val="15"/>
        <w:u w:val="none" w:color="000000"/>
        <w:bdr w:val="none" w:sz="0" w:space="0" w:color="auto"/>
        <w:shd w:val="clear" w:color="auto" w:fill="auto"/>
        <w:vertAlign w:val="baseline"/>
      </w:rPr>
    </w:lvl>
    <w:lvl w:ilvl="4" w:tplc="38824CEA">
      <w:start w:val="1"/>
      <w:numFmt w:val="bullet"/>
      <w:lvlText w:val="o"/>
      <w:lvlJc w:val="left"/>
      <w:pPr>
        <w:ind w:left="3240"/>
      </w:pPr>
      <w:rPr>
        <w:rFonts w:ascii="Roboto" w:eastAsia="Roboto" w:hAnsi="Roboto" w:cs="Roboto"/>
        <w:b w:val="0"/>
        <w:i w:val="0"/>
        <w:strike w:val="0"/>
        <w:dstrike w:val="0"/>
        <w:color w:val="000000"/>
        <w:sz w:val="15"/>
        <w:szCs w:val="15"/>
        <w:u w:val="none" w:color="000000"/>
        <w:bdr w:val="none" w:sz="0" w:space="0" w:color="auto"/>
        <w:shd w:val="clear" w:color="auto" w:fill="auto"/>
        <w:vertAlign w:val="baseline"/>
      </w:rPr>
    </w:lvl>
    <w:lvl w:ilvl="5" w:tplc="218ED0CE">
      <w:start w:val="1"/>
      <w:numFmt w:val="bullet"/>
      <w:lvlText w:val="▪"/>
      <w:lvlJc w:val="left"/>
      <w:pPr>
        <w:ind w:left="3960"/>
      </w:pPr>
      <w:rPr>
        <w:rFonts w:ascii="Roboto" w:eastAsia="Roboto" w:hAnsi="Roboto" w:cs="Roboto"/>
        <w:b w:val="0"/>
        <w:i w:val="0"/>
        <w:strike w:val="0"/>
        <w:dstrike w:val="0"/>
        <w:color w:val="000000"/>
        <w:sz w:val="15"/>
        <w:szCs w:val="15"/>
        <w:u w:val="none" w:color="000000"/>
        <w:bdr w:val="none" w:sz="0" w:space="0" w:color="auto"/>
        <w:shd w:val="clear" w:color="auto" w:fill="auto"/>
        <w:vertAlign w:val="baseline"/>
      </w:rPr>
    </w:lvl>
    <w:lvl w:ilvl="6" w:tplc="EB828D4A">
      <w:start w:val="1"/>
      <w:numFmt w:val="bullet"/>
      <w:lvlText w:val="•"/>
      <w:lvlJc w:val="left"/>
      <w:pPr>
        <w:ind w:left="4680"/>
      </w:pPr>
      <w:rPr>
        <w:rFonts w:ascii="Roboto" w:eastAsia="Roboto" w:hAnsi="Roboto" w:cs="Roboto"/>
        <w:b w:val="0"/>
        <w:i w:val="0"/>
        <w:strike w:val="0"/>
        <w:dstrike w:val="0"/>
        <w:color w:val="000000"/>
        <w:sz w:val="15"/>
        <w:szCs w:val="15"/>
        <w:u w:val="none" w:color="000000"/>
        <w:bdr w:val="none" w:sz="0" w:space="0" w:color="auto"/>
        <w:shd w:val="clear" w:color="auto" w:fill="auto"/>
        <w:vertAlign w:val="baseline"/>
      </w:rPr>
    </w:lvl>
    <w:lvl w:ilvl="7" w:tplc="C05E5952">
      <w:start w:val="1"/>
      <w:numFmt w:val="bullet"/>
      <w:lvlText w:val="o"/>
      <w:lvlJc w:val="left"/>
      <w:pPr>
        <w:ind w:left="5400"/>
      </w:pPr>
      <w:rPr>
        <w:rFonts w:ascii="Roboto" w:eastAsia="Roboto" w:hAnsi="Roboto" w:cs="Roboto"/>
        <w:b w:val="0"/>
        <w:i w:val="0"/>
        <w:strike w:val="0"/>
        <w:dstrike w:val="0"/>
        <w:color w:val="000000"/>
        <w:sz w:val="15"/>
        <w:szCs w:val="15"/>
        <w:u w:val="none" w:color="000000"/>
        <w:bdr w:val="none" w:sz="0" w:space="0" w:color="auto"/>
        <w:shd w:val="clear" w:color="auto" w:fill="auto"/>
        <w:vertAlign w:val="baseline"/>
      </w:rPr>
    </w:lvl>
    <w:lvl w:ilvl="8" w:tplc="22D6F1AA">
      <w:start w:val="1"/>
      <w:numFmt w:val="bullet"/>
      <w:lvlText w:val="▪"/>
      <w:lvlJc w:val="left"/>
      <w:pPr>
        <w:ind w:left="6120"/>
      </w:pPr>
      <w:rPr>
        <w:rFonts w:ascii="Roboto" w:eastAsia="Roboto" w:hAnsi="Roboto" w:cs="Roboto"/>
        <w:b w:val="0"/>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17EE3770"/>
    <w:multiLevelType w:val="hybridMultilevel"/>
    <w:tmpl w:val="14AEA326"/>
    <w:lvl w:ilvl="0" w:tplc="F154BE5C">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75079"/>
    <w:multiLevelType w:val="hybridMultilevel"/>
    <w:tmpl w:val="D2708F8A"/>
    <w:lvl w:ilvl="0" w:tplc="3328E99E">
      <w:numFmt w:val="bullet"/>
      <w:lvlText w:val="•"/>
      <w:lvlJc w:val="left"/>
      <w:pPr>
        <w:ind w:left="2356" w:hanging="360"/>
      </w:pPr>
      <w:rPr>
        <w:rFonts w:ascii="Arial" w:eastAsia="Times New Roman" w:hAnsi="Arial" w:cs="Aria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7" w15:restartNumberingAfterBreak="0">
    <w:nsid w:val="1DD9522F"/>
    <w:multiLevelType w:val="hybridMultilevel"/>
    <w:tmpl w:val="47BA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F2021"/>
    <w:multiLevelType w:val="multilevel"/>
    <w:tmpl w:val="A3EADD32"/>
    <w:lvl w:ilvl="0">
      <w:start w:val="3"/>
      <w:numFmt w:val="decimal"/>
      <w:lvlText w:val="%1."/>
      <w:lvlJc w:val="left"/>
      <w:pPr>
        <w:ind w:left="630" w:hanging="630"/>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22380555"/>
    <w:multiLevelType w:val="hybridMultilevel"/>
    <w:tmpl w:val="621C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51DB4"/>
    <w:multiLevelType w:val="hybridMultilevel"/>
    <w:tmpl w:val="373681B2"/>
    <w:lvl w:ilvl="0" w:tplc="1954ED60">
      <w:start w:val="1"/>
      <w:numFmt w:val="bullet"/>
      <w:pStyle w:val="SG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57C8E"/>
    <w:multiLevelType w:val="hybridMultilevel"/>
    <w:tmpl w:val="5E987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CB71CF"/>
    <w:multiLevelType w:val="hybridMultilevel"/>
    <w:tmpl w:val="43A80B8C"/>
    <w:lvl w:ilvl="0" w:tplc="F154BE5C">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35165D90"/>
    <w:multiLevelType w:val="multilevel"/>
    <w:tmpl w:val="58ECCE94"/>
    <w:numStyleLink w:val="Style1"/>
  </w:abstractNum>
  <w:abstractNum w:abstractNumId="14" w15:restartNumberingAfterBreak="0">
    <w:nsid w:val="38E02D7C"/>
    <w:multiLevelType w:val="multilevel"/>
    <w:tmpl w:val="F8242B12"/>
    <w:styleLink w:val="Style2"/>
    <w:lvl w:ilvl="0">
      <w:start w:val="3"/>
      <w:numFmt w:val="decimal"/>
      <w:lvlText w:val="%1."/>
      <w:lvlJc w:val="left"/>
      <w:pPr>
        <w:ind w:left="720" w:hanging="360"/>
      </w:pPr>
      <w:rPr>
        <w:rFonts w:hint="default"/>
      </w:rPr>
    </w:lvl>
    <w:lvl w:ilvl="1">
      <w:start w:val="1"/>
      <w:numFmt w:val="decimal"/>
      <w:isLgl/>
      <w:lvlText w:val="%1.%2"/>
      <w:lvlJc w:val="left"/>
      <w:pPr>
        <w:ind w:left="0" w:firstLine="0"/>
      </w:pPr>
      <w:rPr>
        <w:rFonts w:hint="default"/>
      </w:rPr>
    </w:lvl>
    <w:lvl w:ilvl="2">
      <w:start w:val="1"/>
      <w:numFmt w:val="decimal"/>
      <w:pStyle w:val="ListParagraph"/>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981118"/>
    <w:multiLevelType w:val="hybridMultilevel"/>
    <w:tmpl w:val="0990483A"/>
    <w:lvl w:ilvl="0" w:tplc="3328E99E">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8D253E"/>
    <w:multiLevelType w:val="hybridMultilevel"/>
    <w:tmpl w:val="E6FCDC16"/>
    <w:lvl w:ilvl="0" w:tplc="179AEC58">
      <w:numFmt w:val="bullet"/>
      <w:lvlText w:val="•"/>
      <w:lvlJc w:val="left"/>
      <w:pPr>
        <w:ind w:left="1996" w:hanging="360"/>
      </w:pPr>
      <w:rPr>
        <w:rFonts w:ascii="Arial" w:eastAsia="Times New Roman" w:hAnsi="Arial" w:cs="Aria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7" w15:restartNumberingAfterBreak="0">
    <w:nsid w:val="492F43D6"/>
    <w:multiLevelType w:val="hybridMultilevel"/>
    <w:tmpl w:val="8D1851B0"/>
    <w:lvl w:ilvl="0" w:tplc="3632AC80">
      <w:start w:val="1"/>
      <w:numFmt w:val="decimal"/>
      <w:pStyle w:val="Heading2"/>
      <w:lvlText w:val="%1."/>
      <w:lvlJc w:val="left"/>
      <w:pPr>
        <w:ind w:left="86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1F570A"/>
    <w:multiLevelType w:val="hybridMultilevel"/>
    <w:tmpl w:val="D23CF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D35DD"/>
    <w:multiLevelType w:val="hybridMultilevel"/>
    <w:tmpl w:val="478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E29EA"/>
    <w:multiLevelType w:val="hybridMultilevel"/>
    <w:tmpl w:val="06E841EE"/>
    <w:lvl w:ilvl="0" w:tplc="C1E0669C">
      <w:start w:val="1"/>
      <w:numFmt w:val="decimal"/>
      <w:pStyle w:val="SGNumbered"/>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907CD8"/>
    <w:multiLevelType w:val="hybridMultilevel"/>
    <w:tmpl w:val="10305D20"/>
    <w:lvl w:ilvl="0" w:tplc="26FCEFD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B67AA0"/>
    <w:multiLevelType w:val="hybridMultilevel"/>
    <w:tmpl w:val="978EA836"/>
    <w:lvl w:ilvl="0" w:tplc="179AEC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5E396E"/>
    <w:multiLevelType w:val="multilevel"/>
    <w:tmpl w:val="F8242B12"/>
    <w:numStyleLink w:val="Style2"/>
  </w:abstractNum>
  <w:abstractNum w:abstractNumId="24" w15:restartNumberingAfterBreak="0">
    <w:nsid w:val="568B5B3E"/>
    <w:multiLevelType w:val="hybridMultilevel"/>
    <w:tmpl w:val="42F87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DD2FE0"/>
    <w:multiLevelType w:val="multilevel"/>
    <w:tmpl w:val="6292D1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620D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13093A"/>
    <w:multiLevelType w:val="hybridMultilevel"/>
    <w:tmpl w:val="2DF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6A4CA2"/>
    <w:multiLevelType w:val="hybridMultilevel"/>
    <w:tmpl w:val="40182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CD198A"/>
    <w:multiLevelType w:val="multilevel"/>
    <w:tmpl w:val="58ECCE94"/>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11466B"/>
    <w:multiLevelType w:val="hybridMultilevel"/>
    <w:tmpl w:val="5B3450BE"/>
    <w:lvl w:ilvl="0" w:tplc="3328E99E">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CAC5619"/>
    <w:multiLevelType w:val="hybridMultilevel"/>
    <w:tmpl w:val="9C78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BA6206"/>
    <w:multiLevelType w:val="hybridMultilevel"/>
    <w:tmpl w:val="A3D24E6A"/>
    <w:lvl w:ilvl="0" w:tplc="3328E99E">
      <w:numFmt w:val="bullet"/>
      <w:lvlText w:val="•"/>
      <w:lvlJc w:val="left"/>
      <w:pPr>
        <w:ind w:left="2356" w:hanging="360"/>
      </w:pPr>
      <w:rPr>
        <w:rFonts w:ascii="Arial" w:eastAsia="Times New Roman" w:hAnsi="Arial" w:cs="Aria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3" w15:restartNumberingAfterBreak="0">
    <w:nsid w:val="6D8D1578"/>
    <w:multiLevelType w:val="hybridMultilevel"/>
    <w:tmpl w:val="607E2806"/>
    <w:lvl w:ilvl="0" w:tplc="EE7CAB5A">
      <w:start w:val="1"/>
      <w:numFmt w:val="bullet"/>
      <w:pStyle w:val="SG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816B55"/>
    <w:multiLevelType w:val="multilevel"/>
    <w:tmpl w:val="58ECCE94"/>
    <w:lvl w:ilvl="0">
      <w:start w:val="1"/>
      <w:numFmt w:val="decimal"/>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330809"/>
    <w:multiLevelType w:val="multilevel"/>
    <w:tmpl w:val="6CAA31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FB0D3B"/>
    <w:multiLevelType w:val="hybridMultilevel"/>
    <w:tmpl w:val="6C5222C8"/>
    <w:lvl w:ilvl="0" w:tplc="3328E99E">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925410B"/>
    <w:multiLevelType w:val="hybridMultilevel"/>
    <w:tmpl w:val="FFAA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F47AE"/>
    <w:multiLevelType w:val="hybridMultilevel"/>
    <w:tmpl w:val="17FEED64"/>
    <w:lvl w:ilvl="0" w:tplc="E7B0F322">
      <w:start w:val="1"/>
      <w:numFmt w:val="lowerRoman"/>
      <w:pStyle w:val="ExecSummaryBodyText"/>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113300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0736307">
    <w:abstractNumId w:val="21"/>
  </w:num>
  <w:num w:numId="3" w16cid:durableId="577792557">
    <w:abstractNumId w:val="20"/>
  </w:num>
  <w:num w:numId="4" w16cid:durableId="606422859">
    <w:abstractNumId w:val="10"/>
  </w:num>
  <w:num w:numId="5" w16cid:durableId="1994750618">
    <w:abstractNumId w:val="28"/>
  </w:num>
  <w:num w:numId="6" w16cid:durableId="704984297">
    <w:abstractNumId w:val="2"/>
  </w:num>
  <w:num w:numId="7" w16cid:durableId="956371599">
    <w:abstractNumId w:val="0"/>
  </w:num>
  <w:num w:numId="8" w16cid:durableId="1321739706">
    <w:abstractNumId w:val="37"/>
  </w:num>
  <w:num w:numId="9" w16cid:durableId="2088569247">
    <w:abstractNumId w:val="24"/>
  </w:num>
  <w:num w:numId="10" w16cid:durableId="1213351269">
    <w:abstractNumId w:val="27"/>
  </w:num>
  <w:num w:numId="11" w16cid:durableId="751047017">
    <w:abstractNumId w:val="33"/>
  </w:num>
  <w:num w:numId="12" w16cid:durableId="901789212">
    <w:abstractNumId w:val="31"/>
  </w:num>
  <w:num w:numId="13" w16cid:durableId="964847831">
    <w:abstractNumId w:val="9"/>
  </w:num>
  <w:num w:numId="14" w16cid:durableId="844635703">
    <w:abstractNumId w:val="35"/>
  </w:num>
  <w:num w:numId="15" w16cid:durableId="1321231075">
    <w:abstractNumId w:val="3"/>
  </w:num>
  <w:num w:numId="16" w16cid:durableId="318389870">
    <w:abstractNumId w:val="18"/>
  </w:num>
  <w:num w:numId="17" w16cid:durableId="2054187161">
    <w:abstractNumId w:val="7"/>
  </w:num>
  <w:num w:numId="18" w16cid:durableId="1666129613">
    <w:abstractNumId w:val="19"/>
  </w:num>
  <w:num w:numId="19" w16cid:durableId="1536699051">
    <w:abstractNumId w:val="22"/>
  </w:num>
  <w:num w:numId="20" w16cid:durableId="2019968509">
    <w:abstractNumId w:val="16"/>
  </w:num>
  <w:num w:numId="21" w16cid:durableId="958412549">
    <w:abstractNumId w:val="1"/>
  </w:num>
  <w:num w:numId="22" w16cid:durableId="2088644591">
    <w:abstractNumId w:val="12"/>
  </w:num>
  <w:num w:numId="23" w16cid:durableId="1441874859">
    <w:abstractNumId w:val="17"/>
  </w:num>
  <w:num w:numId="24" w16cid:durableId="553976039">
    <w:abstractNumId w:val="26"/>
  </w:num>
  <w:num w:numId="25" w16cid:durableId="668951248">
    <w:abstractNumId w:val="5"/>
  </w:num>
  <w:num w:numId="26" w16cid:durableId="1947155118">
    <w:abstractNumId w:val="34"/>
  </w:num>
  <w:num w:numId="27" w16cid:durableId="661587749">
    <w:abstractNumId w:val="25"/>
  </w:num>
  <w:num w:numId="28" w16cid:durableId="2111508804">
    <w:abstractNumId w:val="29"/>
  </w:num>
  <w:num w:numId="29" w16cid:durableId="1687488326">
    <w:abstractNumId w:val="13"/>
  </w:num>
  <w:num w:numId="30" w16cid:durableId="1318456969">
    <w:abstractNumId w:val="23"/>
  </w:num>
  <w:num w:numId="31" w16cid:durableId="424502052">
    <w:abstractNumId w:val="14"/>
  </w:num>
  <w:num w:numId="32" w16cid:durableId="894126277">
    <w:abstractNumId w:val="23"/>
  </w:num>
  <w:num w:numId="33" w16cid:durableId="2143648127">
    <w:abstractNumId w:val="34"/>
  </w:num>
  <w:num w:numId="34" w16cid:durableId="723985113">
    <w:abstractNumId w:val="23"/>
    <w:lvlOverride w:ilvl="0">
      <w:startOverride w:val="3"/>
    </w:lvlOverride>
    <w:lvlOverride w:ilvl="1">
      <w:startOverride w:val="2"/>
    </w:lvlOverride>
    <w:lvlOverride w:ilvl="2">
      <w:startOverride w:val="1"/>
    </w:lvlOverride>
  </w:num>
  <w:num w:numId="35" w16cid:durableId="765730237">
    <w:abstractNumId w:val="23"/>
  </w:num>
  <w:num w:numId="36" w16cid:durableId="4939178">
    <w:abstractNumId w:val="23"/>
    <w:lvlOverride w:ilvl="0">
      <w:startOverride w:val="3"/>
    </w:lvlOverride>
    <w:lvlOverride w:ilvl="1">
      <w:startOverride w:val="2"/>
    </w:lvlOverride>
    <w:lvlOverride w:ilvl="2">
      <w:startOverride w:val="1"/>
    </w:lvlOverride>
  </w:num>
  <w:num w:numId="37" w16cid:durableId="72435585">
    <w:abstractNumId w:val="23"/>
  </w:num>
  <w:num w:numId="38" w16cid:durableId="524447676">
    <w:abstractNumId w:val="23"/>
  </w:num>
  <w:num w:numId="39" w16cid:durableId="1719822377">
    <w:abstractNumId w:val="23"/>
  </w:num>
  <w:num w:numId="40" w16cid:durableId="1311524462">
    <w:abstractNumId w:val="34"/>
  </w:num>
  <w:num w:numId="41" w16cid:durableId="871574853">
    <w:abstractNumId w:val="23"/>
  </w:num>
  <w:num w:numId="42" w16cid:durableId="1283222987">
    <w:abstractNumId w:val="23"/>
  </w:num>
  <w:num w:numId="43" w16cid:durableId="1706904498">
    <w:abstractNumId w:val="23"/>
  </w:num>
  <w:num w:numId="44" w16cid:durableId="86271121">
    <w:abstractNumId w:val="23"/>
  </w:num>
  <w:num w:numId="45" w16cid:durableId="1870872934">
    <w:abstractNumId w:val="23"/>
  </w:num>
  <w:num w:numId="46" w16cid:durableId="969094064">
    <w:abstractNumId w:val="34"/>
  </w:num>
  <w:num w:numId="47" w16cid:durableId="291129866">
    <w:abstractNumId w:val="34"/>
  </w:num>
  <w:num w:numId="48" w16cid:durableId="61023044">
    <w:abstractNumId w:val="34"/>
  </w:num>
  <w:num w:numId="49" w16cid:durableId="815530427">
    <w:abstractNumId w:val="23"/>
    <w:lvlOverride w:ilvl="0">
      <w:startOverride w:val="3"/>
    </w:lvlOverride>
    <w:lvlOverride w:ilvl="1">
      <w:startOverride w:val="3"/>
    </w:lvlOverride>
    <w:lvlOverride w:ilvl="2">
      <w:startOverride w:val="1"/>
    </w:lvlOverride>
  </w:num>
  <w:num w:numId="50" w16cid:durableId="1162501772">
    <w:abstractNumId w:val="8"/>
  </w:num>
  <w:num w:numId="51" w16cid:durableId="987780886">
    <w:abstractNumId w:val="23"/>
    <w:lvlOverride w:ilvl="0">
      <w:startOverride w:val="3"/>
    </w:lvlOverride>
    <w:lvlOverride w:ilvl="1">
      <w:startOverride w:val="4"/>
    </w:lvlOverride>
    <w:lvlOverride w:ilvl="2">
      <w:startOverride w:val="1"/>
    </w:lvlOverride>
  </w:num>
  <w:num w:numId="52" w16cid:durableId="477575268">
    <w:abstractNumId w:val="6"/>
  </w:num>
  <w:num w:numId="53" w16cid:durableId="898394845">
    <w:abstractNumId w:val="32"/>
  </w:num>
  <w:num w:numId="54" w16cid:durableId="1238784319">
    <w:abstractNumId w:val="34"/>
  </w:num>
  <w:num w:numId="55" w16cid:durableId="1668358802">
    <w:abstractNumId w:val="36"/>
  </w:num>
  <w:num w:numId="56" w16cid:durableId="872235193">
    <w:abstractNumId w:val="15"/>
  </w:num>
  <w:num w:numId="57" w16cid:durableId="1510021377">
    <w:abstractNumId w:val="30"/>
  </w:num>
  <w:num w:numId="58" w16cid:durableId="1878811186">
    <w:abstractNumId w:val="4"/>
  </w:num>
  <w:num w:numId="59" w16cid:durableId="165120676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cumentProtection w:formatting="1" w:enforcement="0"/>
  <w:autoFormatOverrid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CF8"/>
    <w:rsid w:val="000048D2"/>
    <w:rsid w:val="00010378"/>
    <w:rsid w:val="000157FF"/>
    <w:rsid w:val="00017CA8"/>
    <w:rsid w:val="0002140B"/>
    <w:rsid w:val="00022130"/>
    <w:rsid w:val="00022B92"/>
    <w:rsid w:val="00023B54"/>
    <w:rsid w:val="00031409"/>
    <w:rsid w:val="000317EB"/>
    <w:rsid w:val="00033429"/>
    <w:rsid w:val="0003562A"/>
    <w:rsid w:val="000409C9"/>
    <w:rsid w:val="0004207B"/>
    <w:rsid w:val="000423BF"/>
    <w:rsid w:val="00051B77"/>
    <w:rsid w:val="000536A0"/>
    <w:rsid w:val="000609E7"/>
    <w:rsid w:val="00062248"/>
    <w:rsid w:val="000634EB"/>
    <w:rsid w:val="00063E74"/>
    <w:rsid w:val="00071213"/>
    <w:rsid w:val="00072EEB"/>
    <w:rsid w:val="000733DC"/>
    <w:rsid w:val="00073B83"/>
    <w:rsid w:val="0007677B"/>
    <w:rsid w:val="00076E82"/>
    <w:rsid w:val="00080E94"/>
    <w:rsid w:val="00081889"/>
    <w:rsid w:val="00085CF8"/>
    <w:rsid w:val="000860CB"/>
    <w:rsid w:val="00090EF9"/>
    <w:rsid w:val="00092823"/>
    <w:rsid w:val="000933C6"/>
    <w:rsid w:val="00093F16"/>
    <w:rsid w:val="00094247"/>
    <w:rsid w:val="000945A7"/>
    <w:rsid w:val="00095EB7"/>
    <w:rsid w:val="0009652B"/>
    <w:rsid w:val="0009768B"/>
    <w:rsid w:val="000A4605"/>
    <w:rsid w:val="000A4714"/>
    <w:rsid w:val="000A5AC7"/>
    <w:rsid w:val="000A6824"/>
    <w:rsid w:val="000A6A41"/>
    <w:rsid w:val="000A783F"/>
    <w:rsid w:val="000B0B43"/>
    <w:rsid w:val="000B0B8B"/>
    <w:rsid w:val="000B1CFC"/>
    <w:rsid w:val="000B2A3F"/>
    <w:rsid w:val="000C0A0E"/>
    <w:rsid w:val="000C14D7"/>
    <w:rsid w:val="000C314E"/>
    <w:rsid w:val="000C5DA4"/>
    <w:rsid w:val="000D19C0"/>
    <w:rsid w:val="000D2AE2"/>
    <w:rsid w:val="000D32A7"/>
    <w:rsid w:val="000E09A4"/>
    <w:rsid w:val="000E151B"/>
    <w:rsid w:val="000E52E4"/>
    <w:rsid w:val="000E5A84"/>
    <w:rsid w:val="000E7CAD"/>
    <w:rsid w:val="000F158C"/>
    <w:rsid w:val="000F23EF"/>
    <w:rsid w:val="000F7A30"/>
    <w:rsid w:val="00102126"/>
    <w:rsid w:val="00102E7A"/>
    <w:rsid w:val="00103752"/>
    <w:rsid w:val="001173FD"/>
    <w:rsid w:val="00120C09"/>
    <w:rsid w:val="00122597"/>
    <w:rsid w:val="00124078"/>
    <w:rsid w:val="00125131"/>
    <w:rsid w:val="001254FB"/>
    <w:rsid w:val="0012645E"/>
    <w:rsid w:val="001279C3"/>
    <w:rsid w:val="001313B9"/>
    <w:rsid w:val="00132B4B"/>
    <w:rsid w:val="00134F1E"/>
    <w:rsid w:val="00137123"/>
    <w:rsid w:val="00137C68"/>
    <w:rsid w:val="0014223C"/>
    <w:rsid w:val="00142DE3"/>
    <w:rsid w:val="00143A6E"/>
    <w:rsid w:val="001446D9"/>
    <w:rsid w:val="00144A2E"/>
    <w:rsid w:val="001457B5"/>
    <w:rsid w:val="00146AC5"/>
    <w:rsid w:val="00156A1E"/>
    <w:rsid w:val="0016049D"/>
    <w:rsid w:val="00161AD8"/>
    <w:rsid w:val="00162DDF"/>
    <w:rsid w:val="00164650"/>
    <w:rsid w:val="001655C2"/>
    <w:rsid w:val="00170D9C"/>
    <w:rsid w:val="00174FAF"/>
    <w:rsid w:val="00175278"/>
    <w:rsid w:val="001772E6"/>
    <w:rsid w:val="00177C30"/>
    <w:rsid w:val="00180853"/>
    <w:rsid w:val="00182B78"/>
    <w:rsid w:val="001842A3"/>
    <w:rsid w:val="00185D53"/>
    <w:rsid w:val="00185E01"/>
    <w:rsid w:val="00187045"/>
    <w:rsid w:val="00190603"/>
    <w:rsid w:val="00191086"/>
    <w:rsid w:val="00193502"/>
    <w:rsid w:val="0019476E"/>
    <w:rsid w:val="001A0E69"/>
    <w:rsid w:val="001B0727"/>
    <w:rsid w:val="001B2DDF"/>
    <w:rsid w:val="001B73DD"/>
    <w:rsid w:val="001C05A7"/>
    <w:rsid w:val="001C131F"/>
    <w:rsid w:val="001C1E39"/>
    <w:rsid w:val="001C40D9"/>
    <w:rsid w:val="001C4785"/>
    <w:rsid w:val="001C4FDD"/>
    <w:rsid w:val="001C790F"/>
    <w:rsid w:val="001D2A20"/>
    <w:rsid w:val="001D2C3B"/>
    <w:rsid w:val="001E0311"/>
    <w:rsid w:val="001E2C7A"/>
    <w:rsid w:val="001E70DA"/>
    <w:rsid w:val="001E7524"/>
    <w:rsid w:val="001E759C"/>
    <w:rsid w:val="001E7EB1"/>
    <w:rsid w:val="001F0EA0"/>
    <w:rsid w:val="001F12B2"/>
    <w:rsid w:val="00200455"/>
    <w:rsid w:val="00202B02"/>
    <w:rsid w:val="00203E53"/>
    <w:rsid w:val="00204ECD"/>
    <w:rsid w:val="002051CA"/>
    <w:rsid w:val="00206C28"/>
    <w:rsid w:val="00211E5B"/>
    <w:rsid w:val="00214924"/>
    <w:rsid w:val="00215A22"/>
    <w:rsid w:val="00221964"/>
    <w:rsid w:val="00222ED4"/>
    <w:rsid w:val="0022711A"/>
    <w:rsid w:val="00231174"/>
    <w:rsid w:val="002311F7"/>
    <w:rsid w:val="002321DE"/>
    <w:rsid w:val="0023358B"/>
    <w:rsid w:val="00234A10"/>
    <w:rsid w:val="002351EE"/>
    <w:rsid w:val="00235248"/>
    <w:rsid w:val="002352B4"/>
    <w:rsid w:val="00245DC4"/>
    <w:rsid w:val="00247FC5"/>
    <w:rsid w:val="00254692"/>
    <w:rsid w:val="0026135B"/>
    <w:rsid w:val="00263248"/>
    <w:rsid w:val="00263453"/>
    <w:rsid w:val="00264C42"/>
    <w:rsid w:val="002653E6"/>
    <w:rsid w:val="00267B15"/>
    <w:rsid w:val="0027357B"/>
    <w:rsid w:val="00276FB0"/>
    <w:rsid w:val="0028108C"/>
    <w:rsid w:val="002814D5"/>
    <w:rsid w:val="00281952"/>
    <w:rsid w:val="00282D44"/>
    <w:rsid w:val="0028409B"/>
    <w:rsid w:val="00286C88"/>
    <w:rsid w:val="002871E5"/>
    <w:rsid w:val="00287A1C"/>
    <w:rsid w:val="0029108A"/>
    <w:rsid w:val="00291EFB"/>
    <w:rsid w:val="002971BA"/>
    <w:rsid w:val="002A1DD3"/>
    <w:rsid w:val="002A2273"/>
    <w:rsid w:val="002B085C"/>
    <w:rsid w:val="002B0DCF"/>
    <w:rsid w:val="002B41E6"/>
    <w:rsid w:val="002B4D53"/>
    <w:rsid w:val="002B5772"/>
    <w:rsid w:val="002B6280"/>
    <w:rsid w:val="002B651B"/>
    <w:rsid w:val="002C0E6D"/>
    <w:rsid w:val="002C43D7"/>
    <w:rsid w:val="002C5042"/>
    <w:rsid w:val="002C7BEA"/>
    <w:rsid w:val="002D1792"/>
    <w:rsid w:val="002D49D6"/>
    <w:rsid w:val="002D79F8"/>
    <w:rsid w:val="002E0ED7"/>
    <w:rsid w:val="002E1C6B"/>
    <w:rsid w:val="002E673C"/>
    <w:rsid w:val="002E7362"/>
    <w:rsid w:val="002F0E89"/>
    <w:rsid w:val="002F20AC"/>
    <w:rsid w:val="002F348C"/>
    <w:rsid w:val="002F3B74"/>
    <w:rsid w:val="002F5CD6"/>
    <w:rsid w:val="002F709B"/>
    <w:rsid w:val="002F7909"/>
    <w:rsid w:val="003006C5"/>
    <w:rsid w:val="00303EE4"/>
    <w:rsid w:val="0031171C"/>
    <w:rsid w:val="00312E1A"/>
    <w:rsid w:val="00317F8C"/>
    <w:rsid w:val="00320499"/>
    <w:rsid w:val="003210DD"/>
    <w:rsid w:val="0032216A"/>
    <w:rsid w:val="003254E5"/>
    <w:rsid w:val="00326568"/>
    <w:rsid w:val="00326ACB"/>
    <w:rsid w:val="00326DE6"/>
    <w:rsid w:val="0033203A"/>
    <w:rsid w:val="00347971"/>
    <w:rsid w:val="00351176"/>
    <w:rsid w:val="00352203"/>
    <w:rsid w:val="00352336"/>
    <w:rsid w:val="00353EF2"/>
    <w:rsid w:val="00355F58"/>
    <w:rsid w:val="00360038"/>
    <w:rsid w:val="00363E5D"/>
    <w:rsid w:val="003662EA"/>
    <w:rsid w:val="003673AC"/>
    <w:rsid w:val="003733B0"/>
    <w:rsid w:val="00373644"/>
    <w:rsid w:val="00374D6E"/>
    <w:rsid w:val="00375B57"/>
    <w:rsid w:val="00377E7D"/>
    <w:rsid w:val="0038336D"/>
    <w:rsid w:val="00383688"/>
    <w:rsid w:val="00384C64"/>
    <w:rsid w:val="00385B65"/>
    <w:rsid w:val="003865C7"/>
    <w:rsid w:val="0038768B"/>
    <w:rsid w:val="00390F9E"/>
    <w:rsid w:val="00391005"/>
    <w:rsid w:val="003954D8"/>
    <w:rsid w:val="0039569B"/>
    <w:rsid w:val="00396C76"/>
    <w:rsid w:val="00397838"/>
    <w:rsid w:val="003A01D1"/>
    <w:rsid w:val="003A2E11"/>
    <w:rsid w:val="003A3D38"/>
    <w:rsid w:val="003A634B"/>
    <w:rsid w:val="003A736B"/>
    <w:rsid w:val="003B2A2E"/>
    <w:rsid w:val="003B3D7A"/>
    <w:rsid w:val="003B4E84"/>
    <w:rsid w:val="003B732F"/>
    <w:rsid w:val="003C00C2"/>
    <w:rsid w:val="003C42D5"/>
    <w:rsid w:val="003D25A9"/>
    <w:rsid w:val="003D4EAC"/>
    <w:rsid w:val="003D6CF1"/>
    <w:rsid w:val="003D7FB9"/>
    <w:rsid w:val="003E5179"/>
    <w:rsid w:val="003E5FB4"/>
    <w:rsid w:val="003F1B3D"/>
    <w:rsid w:val="003F37C7"/>
    <w:rsid w:val="003F47B8"/>
    <w:rsid w:val="003F52B2"/>
    <w:rsid w:val="003F67EE"/>
    <w:rsid w:val="004009E7"/>
    <w:rsid w:val="004012D1"/>
    <w:rsid w:val="004018D2"/>
    <w:rsid w:val="004031AE"/>
    <w:rsid w:val="00405AEA"/>
    <w:rsid w:val="0041185A"/>
    <w:rsid w:val="00417A37"/>
    <w:rsid w:val="004249FA"/>
    <w:rsid w:val="0042560A"/>
    <w:rsid w:val="00430ABE"/>
    <w:rsid w:val="004314EA"/>
    <w:rsid w:val="00432485"/>
    <w:rsid w:val="00435555"/>
    <w:rsid w:val="00440EA7"/>
    <w:rsid w:val="00441644"/>
    <w:rsid w:val="00444A79"/>
    <w:rsid w:val="004458D5"/>
    <w:rsid w:val="00445B09"/>
    <w:rsid w:val="00450A09"/>
    <w:rsid w:val="00451C58"/>
    <w:rsid w:val="004543C9"/>
    <w:rsid w:val="00457750"/>
    <w:rsid w:val="00457F81"/>
    <w:rsid w:val="004604F8"/>
    <w:rsid w:val="00462D0A"/>
    <w:rsid w:val="00464109"/>
    <w:rsid w:val="0046515F"/>
    <w:rsid w:val="00470CC3"/>
    <w:rsid w:val="004837EA"/>
    <w:rsid w:val="00484816"/>
    <w:rsid w:val="0048554C"/>
    <w:rsid w:val="00485901"/>
    <w:rsid w:val="0048685A"/>
    <w:rsid w:val="00492C97"/>
    <w:rsid w:val="00494E58"/>
    <w:rsid w:val="004A00E2"/>
    <w:rsid w:val="004A1C5D"/>
    <w:rsid w:val="004A42EB"/>
    <w:rsid w:val="004A6692"/>
    <w:rsid w:val="004A669D"/>
    <w:rsid w:val="004A6ABA"/>
    <w:rsid w:val="004A6F79"/>
    <w:rsid w:val="004B35E3"/>
    <w:rsid w:val="004B768C"/>
    <w:rsid w:val="004B78A0"/>
    <w:rsid w:val="004C18B4"/>
    <w:rsid w:val="004C2A21"/>
    <w:rsid w:val="004D059D"/>
    <w:rsid w:val="004D28EC"/>
    <w:rsid w:val="004D2A97"/>
    <w:rsid w:val="004D3485"/>
    <w:rsid w:val="004D6320"/>
    <w:rsid w:val="004E4EC7"/>
    <w:rsid w:val="004E62D4"/>
    <w:rsid w:val="004E6CBA"/>
    <w:rsid w:val="004F098E"/>
    <w:rsid w:val="004F1ABA"/>
    <w:rsid w:val="004F3A1A"/>
    <w:rsid w:val="00502BBC"/>
    <w:rsid w:val="00502FFC"/>
    <w:rsid w:val="0050634B"/>
    <w:rsid w:val="0051096F"/>
    <w:rsid w:val="00511643"/>
    <w:rsid w:val="00514662"/>
    <w:rsid w:val="0051468E"/>
    <w:rsid w:val="00514C06"/>
    <w:rsid w:val="00514C08"/>
    <w:rsid w:val="00514C15"/>
    <w:rsid w:val="005169BF"/>
    <w:rsid w:val="00520B9C"/>
    <w:rsid w:val="00521807"/>
    <w:rsid w:val="00522CBC"/>
    <w:rsid w:val="00523177"/>
    <w:rsid w:val="005234A4"/>
    <w:rsid w:val="00523E5E"/>
    <w:rsid w:val="00525954"/>
    <w:rsid w:val="00525F2E"/>
    <w:rsid w:val="0053072C"/>
    <w:rsid w:val="00532961"/>
    <w:rsid w:val="005349CC"/>
    <w:rsid w:val="0053600C"/>
    <w:rsid w:val="00537035"/>
    <w:rsid w:val="00540D07"/>
    <w:rsid w:val="005410AB"/>
    <w:rsid w:val="00541307"/>
    <w:rsid w:val="00541C2F"/>
    <w:rsid w:val="00542FE7"/>
    <w:rsid w:val="00543B17"/>
    <w:rsid w:val="005440DB"/>
    <w:rsid w:val="00544133"/>
    <w:rsid w:val="00544745"/>
    <w:rsid w:val="00545D02"/>
    <w:rsid w:val="005469F0"/>
    <w:rsid w:val="005502F9"/>
    <w:rsid w:val="00553567"/>
    <w:rsid w:val="005541C6"/>
    <w:rsid w:val="00556843"/>
    <w:rsid w:val="00556AFD"/>
    <w:rsid w:val="005633D9"/>
    <w:rsid w:val="00563A1B"/>
    <w:rsid w:val="00564633"/>
    <w:rsid w:val="00566889"/>
    <w:rsid w:val="005703B5"/>
    <w:rsid w:val="005764C1"/>
    <w:rsid w:val="005773D4"/>
    <w:rsid w:val="00577FF9"/>
    <w:rsid w:val="005811E4"/>
    <w:rsid w:val="00583C10"/>
    <w:rsid w:val="00584F88"/>
    <w:rsid w:val="0058503C"/>
    <w:rsid w:val="00585BCD"/>
    <w:rsid w:val="0059283B"/>
    <w:rsid w:val="00595F22"/>
    <w:rsid w:val="005976FA"/>
    <w:rsid w:val="005A0911"/>
    <w:rsid w:val="005A22E6"/>
    <w:rsid w:val="005A2839"/>
    <w:rsid w:val="005A70E0"/>
    <w:rsid w:val="005A736B"/>
    <w:rsid w:val="005A76A6"/>
    <w:rsid w:val="005A78B4"/>
    <w:rsid w:val="005A7DD0"/>
    <w:rsid w:val="005B6C19"/>
    <w:rsid w:val="005B7800"/>
    <w:rsid w:val="005C00C5"/>
    <w:rsid w:val="005C5258"/>
    <w:rsid w:val="005C56AC"/>
    <w:rsid w:val="005C5D92"/>
    <w:rsid w:val="005D1C79"/>
    <w:rsid w:val="005D2818"/>
    <w:rsid w:val="005D4E20"/>
    <w:rsid w:val="005D5B9F"/>
    <w:rsid w:val="005D6302"/>
    <w:rsid w:val="005D6AA6"/>
    <w:rsid w:val="005D7C2B"/>
    <w:rsid w:val="005E3216"/>
    <w:rsid w:val="005E4C91"/>
    <w:rsid w:val="005E6882"/>
    <w:rsid w:val="005E70AB"/>
    <w:rsid w:val="006007F6"/>
    <w:rsid w:val="00601CA0"/>
    <w:rsid w:val="006026CA"/>
    <w:rsid w:val="00605EFD"/>
    <w:rsid w:val="00611A32"/>
    <w:rsid w:val="00612C7C"/>
    <w:rsid w:val="006151D1"/>
    <w:rsid w:val="00615C18"/>
    <w:rsid w:val="00616006"/>
    <w:rsid w:val="00616CBF"/>
    <w:rsid w:val="006227D4"/>
    <w:rsid w:val="0062349D"/>
    <w:rsid w:val="00624137"/>
    <w:rsid w:val="00626E42"/>
    <w:rsid w:val="0062730B"/>
    <w:rsid w:val="00627DEE"/>
    <w:rsid w:val="006354E3"/>
    <w:rsid w:val="00635CB1"/>
    <w:rsid w:val="00636884"/>
    <w:rsid w:val="0064055F"/>
    <w:rsid w:val="00641348"/>
    <w:rsid w:val="00646065"/>
    <w:rsid w:val="00650720"/>
    <w:rsid w:val="006515F5"/>
    <w:rsid w:val="00652B1C"/>
    <w:rsid w:val="00653470"/>
    <w:rsid w:val="0065572E"/>
    <w:rsid w:val="006575F7"/>
    <w:rsid w:val="00660C33"/>
    <w:rsid w:val="0066182C"/>
    <w:rsid w:val="0066249C"/>
    <w:rsid w:val="00662B48"/>
    <w:rsid w:val="00664555"/>
    <w:rsid w:val="00664E53"/>
    <w:rsid w:val="00670E85"/>
    <w:rsid w:val="00680BF9"/>
    <w:rsid w:val="006818BC"/>
    <w:rsid w:val="00683051"/>
    <w:rsid w:val="0068508B"/>
    <w:rsid w:val="0068553F"/>
    <w:rsid w:val="00686B9A"/>
    <w:rsid w:val="00690191"/>
    <w:rsid w:val="00691CBF"/>
    <w:rsid w:val="00693ABB"/>
    <w:rsid w:val="00694E95"/>
    <w:rsid w:val="0069507C"/>
    <w:rsid w:val="00695BD4"/>
    <w:rsid w:val="00695D3A"/>
    <w:rsid w:val="006A1B16"/>
    <w:rsid w:val="006A3086"/>
    <w:rsid w:val="006A3B46"/>
    <w:rsid w:val="006A4C60"/>
    <w:rsid w:val="006A7797"/>
    <w:rsid w:val="006B0AE5"/>
    <w:rsid w:val="006B604B"/>
    <w:rsid w:val="006B7D96"/>
    <w:rsid w:val="006C12E5"/>
    <w:rsid w:val="006C2CF8"/>
    <w:rsid w:val="006C380B"/>
    <w:rsid w:val="006C42F7"/>
    <w:rsid w:val="006C7541"/>
    <w:rsid w:val="006D011D"/>
    <w:rsid w:val="006D09B5"/>
    <w:rsid w:val="006D0CD6"/>
    <w:rsid w:val="006D1A85"/>
    <w:rsid w:val="006D2D20"/>
    <w:rsid w:val="006D3916"/>
    <w:rsid w:val="006D41E6"/>
    <w:rsid w:val="006D6590"/>
    <w:rsid w:val="006E1F34"/>
    <w:rsid w:val="006E402E"/>
    <w:rsid w:val="006E71BB"/>
    <w:rsid w:val="006F2E2B"/>
    <w:rsid w:val="006F4C02"/>
    <w:rsid w:val="007000B7"/>
    <w:rsid w:val="0070570D"/>
    <w:rsid w:val="00705CC1"/>
    <w:rsid w:val="007072D0"/>
    <w:rsid w:val="00707998"/>
    <w:rsid w:val="00720879"/>
    <w:rsid w:val="00720DF3"/>
    <w:rsid w:val="00723829"/>
    <w:rsid w:val="00724FC9"/>
    <w:rsid w:val="007279A5"/>
    <w:rsid w:val="0073037F"/>
    <w:rsid w:val="00733030"/>
    <w:rsid w:val="00733A28"/>
    <w:rsid w:val="0073545F"/>
    <w:rsid w:val="00737F28"/>
    <w:rsid w:val="007418D1"/>
    <w:rsid w:val="00745A56"/>
    <w:rsid w:val="00746E67"/>
    <w:rsid w:val="007531A7"/>
    <w:rsid w:val="0075705F"/>
    <w:rsid w:val="00760744"/>
    <w:rsid w:val="00761819"/>
    <w:rsid w:val="007618CF"/>
    <w:rsid w:val="00762BC5"/>
    <w:rsid w:val="007652D2"/>
    <w:rsid w:val="007724CE"/>
    <w:rsid w:val="007756E2"/>
    <w:rsid w:val="00777DDF"/>
    <w:rsid w:val="00784A9C"/>
    <w:rsid w:val="00791751"/>
    <w:rsid w:val="0079386B"/>
    <w:rsid w:val="00796D25"/>
    <w:rsid w:val="007A0CCE"/>
    <w:rsid w:val="007A2078"/>
    <w:rsid w:val="007A4A4E"/>
    <w:rsid w:val="007A5147"/>
    <w:rsid w:val="007A7458"/>
    <w:rsid w:val="007B3116"/>
    <w:rsid w:val="007B71EE"/>
    <w:rsid w:val="007C1BA4"/>
    <w:rsid w:val="007C42EB"/>
    <w:rsid w:val="007C7952"/>
    <w:rsid w:val="007D0E24"/>
    <w:rsid w:val="007D19FE"/>
    <w:rsid w:val="007D7E6D"/>
    <w:rsid w:val="007E4BCE"/>
    <w:rsid w:val="007E4DEB"/>
    <w:rsid w:val="007E4F1E"/>
    <w:rsid w:val="007E5BC8"/>
    <w:rsid w:val="007E5C4E"/>
    <w:rsid w:val="007F1643"/>
    <w:rsid w:val="007F25D0"/>
    <w:rsid w:val="007F30D2"/>
    <w:rsid w:val="007F3A68"/>
    <w:rsid w:val="007F6E00"/>
    <w:rsid w:val="007F7019"/>
    <w:rsid w:val="008013BB"/>
    <w:rsid w:val="008018EE"/>
    <w:rsid w:val="0080541C"/>
    <w:rsid w:val="008058B8"/>
    <w:rsid w:val="00806F33"/>
    <w:rsid w:val="008070A4"/>
    <w:rsid w:val="008103C4"/>
    <w:rsid w:val="00811D8E"/>
    <w:rsid w:val="008135D7"/>
    <w:rsid w:val="008231C8"/>
    <w:rsid w:val="008233D1"/>
    <w:rsid w:val="0082458C"/>
    <w:rsid w:val="008254F7"/>
    <w:rsid w:val="00825FDA"/>
    <w:rsid w:val="00826914"/>
    <w:rsid w:val="008301EB"/>
    <w:rsid w:val="00830BA3"/>
    <w:rsid w:val="0083525F"/>
    <w:rsid w:val="00835FD3"/>
    <w:rsid w:val="008368B5"/>
    <w:rsid w:val="0083714D"/>
    <w:rsid w:val="00842828"/>
    <w:rsid w:val="0084595D"/>
    <w:rsid w:val="00846116"/>
    <w:rsid w:val="0084618B"/>
    <w:rsid w:val="0084798D"/>
    <w:rsid w:val="00847D29"/>
    <w:rsid w:val="00861D7D"/>
    <w:rsid w:val="008633A5"/>
    <w:rsid w:val="00864012"/>
    <w:rsid w:val="00867B04"/>
    <w:rsid w:val="008704CE"/>
    <w:rsid w:val="0087060F"/>
    <w:rsid w:val="00874DE1"/>
    <w:rsid w:val="008761C4"/>
    <w:rsid w:val="00876565"/>
    <w:rsid w:val="00877E5E"/>
    <w:rsid w:val="00880543"/>
    <w:rsid w:val="0088338B"/>
    <w:rsid w:val="00884882"/>
    <w:rsid w:val="00885896"/>
    <w:rsid w:val="00885B49"/>
    <w:rsid w:val="00886871"/>
    <w:rsid w:val="00891958"/>
    <w:rsid w:val="008944C5"/>
    <w:rsid w:val="00895EB3"/>
    <w:rsid w:val="00897357"/>
    <w:rsid w:val="008A04A8"/>
    <w:rsid w:val="008A2BE3"/>
    <w:rsid w:val="008A6214"/>
    <w:rsid w:val="008B4780"/>
    <w:rsid w:val="008C08E3"/>
    <w:rsid w:val="008C1090"/>
    <w:rsid w:val="008D2F06"/>
    <w:rsid w:val="008D39E0"/>
    <w:rsid w:val="008D3AAB"/>
    <w:rsid w:val="008D5478"/>
    <w:rsid w:val="008D5909"/>
    <w:rsid w:val="008D7960"/>
    <w:rsid w:val="008D7A1C"/>
    <w:rsid w:val="008E255C"/>
    <w:rsid w:val="008F10B7"/>
    <w:rsid w:val="008F2925"/>
    <w:rsid w:val="008F488C"/>
    <w:rsid w:val="008F4C19"/>
    <w:rsid w:val="008F5CFF"/>
    <w:rsid w:val="008F60F7"/>
    <w:rsid w:val="008F6602"/>
    <w:rsid w:val="008F7DA3"/>
    <w:rsid w:val="009000AD"/>
    <w:rsid w:val="009030AD"/>
    <w:rsid w:val="009031F9"/>
    <w:rsid w:val="009042B6"/>
    <w:rsid w:val="00905662"/>
    <w:rsid w:val="00910C18"/>
    <w:rsid w:val="00912D36"/>
    <w:rsid w:val="0091372D"/>
    <w:rsid w:val="00913F6B"/>
    <w:rsid w:val="00915CAB"/>
    <w:rsid w:val="009203D4"/>
    <w:rsid w:val="0092089D"/>
    <w:rsid w:val="00924C87"/>
    <w:rsid w:val="00926C0E"/>
    <w:rsid w:val="0093256A"/>
    <w:rsid w:val="009366ED"/>
    <w:rsid w:val="00937229"/>
    <w:rsid w:val="009414D9"/>
    <w:rsid w:val="0094207D"/>
    <w:rsid w:val="00943614"/>
    <w:rsid w:val="0094729F"/>
    <w:rsid w:val="00951133"/>
    <w:rsid w:val="00952194"/>
    <w:rsid w:val="00956636"/>
    <w:rsid w:val="009614C7"/>
    <w:rsid w:val="00965031"/>
    <w:rsid w:val="009654F2"/>
    <w:rsid w:val="009667FA"/>
    <w:rsid w:val="009704FE"/>
    <w:rsid w:val="009735BB"/>
    <w:rsid w:val="00973A2B"/>
    <w:rsid w:val="009767AB"/>
    <w:rsid w:val="00982E60"/>
    <w:rsid w:val="00983CC2"/>
    <w:rsid w:val="00984233"/>
    <w:rsid w:val="0098431D"/>
    <w:rsid w:val="0098515E"/>
    <w:rsid w:val="009854BA"/>
    <w:rsid w:val="009871A9"/>
    <w:rsid w:val="009902EB"/>
    <w:rsid w:val="00990846"/>
    <w:rsid w:val="00990FDA"/>
    <w:rsid w:val="00991217"/>
    <w:rsid w:val="0099202D"/>
    <w:rsid w:val="009A05CF"/>
    <w:rsid w:val="009A0EA1"/>
    <w:rsid w:val="009A21D7"/>
    <w:rsid w:val="009A32DC"/>
    <w:rsid w:val="009A4A49"/>
    <w:rsid w:val="009B1960"/>
    <w:rsid w:val="009C4F36"/>
    <w:rsid w:val="009C6CE2"/>
    <w:rsid w:val="009C7F3A"/>
    <w:rsid w:val="009D1CC2"/>
    <w:rsid w:val="009D5947"/>
    <w:rsid w:val="009D5EF0"/>
    <w:rsid w:val="009E2B66"/>
    <w:rsid w:val="009E5AE0"/>
    <w:rsid w:val="009E5D0D"/>
    <w:rsid w:val="009F2019"/>
    <w:rsid w:val="009F2812"/>
    <w:rsid w:val="009F44E9"/>
    <w:rsid w:val="009F49A9"/>
    <w:rsid w:val="009F7211"/>
    <w:rsid w:val="009F7BBD"/>
    <w:rsid w:val="00A01EEC"/>
    <w:rsid w:val="00A03761"/>
    <w:rsid w:val="00A04ADD"/>
    <w:rsid w:val="00A0599D"/>
    <w:rsid w:val="00A05EBC"/>
    <w:rsid w:val="00A06073"/>
    <w:rsid w:val="00A0703E"/>
    <w:rsid w:val="00A075F0"/>
    <w:rsid w:val="00A118D7"/>
    <w:rsid w:val="00A12917"/>
    <w:rsid w:val="00A13957"/>
    <w:rsid w:val="00A17D1B"/>
    <w:rsid w:val="00A221AC"/>
    <w:rsid w:val="00A224AC"/>
    <w:rsid w:val="00A2673C"/>
    <w:rsid w:val="00A31CE5"/>
    <w:rsid w:val="00A3291E"/>
    <w:rsid w:val="00A34953"/>
    <w:rsid w:val="00A47A7E"/>
    <w:rsid w:val="00A47E67"/>
    <w:rsid w:val="00A52CBF"/>
    <w:rsid w:val="00A54BB6"/>
    <w:rsid w:val="00A5703D"/>
    <w:rsid w:val="00A57A83"/>
    <w:rsid w:val="00A6201C"/>
    <w:rsid w:val="00A66049"/>
    <w:rsid w:val="00A67ADA"/>
    <w:rsid w:val="00A7340F"/>
    <w:rsid w:val="00A750D1"/>
    <w:rsid w:val="00A90A0B"/>
    <w:rsid w:val="00AA2092"/>
    <w:rsid w:val="00AA5D7B"/>
    <w:rsid w:val="00AA68EC"/>
    <w:rsid w:val="00AA6BB0"/>
    <w:rsid w:val="00AA700B"/>
    <w:rsid w:val="00AB0AB7"/>
    <w:rsid w:val="00AB106D"/>
    <w:rsid w:val="00AB361C"/>
    <w:rsid w:val="00AB41AF"/>
    <w:rsid w:val="00AC266D"/>
    <w:rsid w:val="00AC4226"/>
    <w:rsid w:val="00AC5870"/>
    <w:rsid w:val="00AC610B"/>
    <w:rsid w:val="00AC7590"/>
    <w:rsid w:val="00AD03F4"/>
    <w:rsid w:val="00AD2788"/>
    <w:rsid w:val="00AD2D3E"/>
    <w:rsid w:val="00AD404A"/>
    <w:rsid w:val="00AD50FD"/>
    <w:rsid w:val="00AE1AAA"/>
    <w:rsid w:val="00AE389F"/>
    <w:rsid w:val="00AE6657"/>
    <w:rsid w:val="00AE73F6"/>
    <w:rsid w:val="00AF1A5D"/>
    <w:rsid w:val="00AF48CA"/>
    <w:rsid w:val="00B02547"/>
    <w:rsid w:val="00B043CE"/>
    <w:rsid w:val="00B06782"/>
    <w:rsid w:val="00B07E51"/>
    <w:rsid w:val="00B121F7"/>
    <w:rsid w:val="00B12A0E"/>
    <w:rsid w:val="00B14619"/>
    <w:rsid w:val="00B2057B"/>
    <w:rsid w:val="00B206ED"/>
    <w:rsid w:val="00B22667"/>
    <w:rsid w:val="00B24314"/>
    <w:rsid w:val="00B31C7F"/>
    <w:rsid w:val="00B320BC"/>
    <w:rsid w:val="00B32F2B"/>
    <w:rsid w:val="00B344FE"/>
    <w:rsid w:val="00B35987"/>
    <w:rsid w:val="00B40CBB"/>
    <w:rsid w:val="00B42D56"/>
    <w:rsid w:val="00B43076"/>
    <w:rsid w:val="00B45A0A"/>
    <w:rsid w:val="00B50CFF"/>
    <w:rsid w:val="00B51B74"/>
    <w:rsid w:val="00B578A0"/>
    <w:rsid w:val="00B6049D"/>
    <w:rsid w:val="00B62B97"/>
    <w:rsid w:val="00B63E71"/>
    <w:rsid w:val="00B667F5"/>
    <w:rsid w:val="00B67FD9"/>
    <w:rsid w:val="00B70821"/>
    <w:rsid w:val="00B71156"/>
    <w:rsid w:val="00B71181"/>
    <w:rsid w:val="00B766B1"/>
    <w:rsid w:val="00B80F04"/>
    <w:rsid w:val="00B8121C"/>
    <w:rsid w:val="00B836ED"/>
    <w:rsid w:val="00B8563A"/>
    <w:rsid w:val="00B9204C"/>
    <w:rsid w:val="00B94875"/>
    <w:rsid w:val="00BA1E03"/>
    <w:rsid w:val="00BA2873"/>
    <w:rsid w:val="00BA3B58"/>
    <w:rsid w:val="00BA3BAD"/>
    <w:rsid w:val="00BA3D4C"/>
    <w:rsid w:val="00BA5683"/>
    <w:rsid w:val="00BB06CD"/>
    <w:rsid w:val="00BB091E"/>
    <w:rsid w:val="00BB2224"/>
    <w:rsid w:val="00BB75E2"/>
    <w:rsid w:val="00BB7782"/>
    <w:rsid w:val="00BC08D3"/>
    <w:rsid w:val="00BC293E"/>
    <w:rsid w:val="00BC3A63"/>
    <w:rsid w:val="00BC494F"/>
    <w:rsid w:val="00BC4E4B"/>
    <w:rsid w:val="00BC5EC9"/>
    <w:rsid w:val="00BC6070"/>
    <w:rsid w:val="00BC6A66"/>
    <w:rsid w:val="00BD1E82"/>
    <w:rsid w:val="00BD24C0"/>
    <w:rsid w:val="00BD3CF9"/>
    <w:rsid w:val="00BD4FCA"/>
    <w:rsid w:val="00BD5C25"/>
    <w:rsid w:val="00BE1162"/>
    <w:rsid w:val="00BE390D"/>
    <w:rsid w:val="00BE4DDD"/>
    <w:rsid w:val="00BE7184"/>
    <w:rsid w:val="00BF24D4"/>
    <w:rsid w:val="00BF3418"/>
    <w:rsid w:val="00C03371"/>
    <w:rsid w:val="00C03FD6"/>
    <w:rsid w:val="00C046DF"/>
    <w:rsid w:val="00C07F1E"/>
    <w:rsid w:val="00C10333"/>
    <w:rsid w:val="00C134D1"/>
    <w:rsid w:val="00C134DF"/>
    <w:rsid w:val="00C152DF"/>
    <w:rsid w:val="00C16AA2"/>
    <w:rsid w:val="00C214AA"/>
    <w:rsid w:val="00C21B2B"/>
    <w:rsid w:val="00C242AD"/>
    <w:rsid w:val="00C2478C"/>
    <w:rsid w:val="00C24B44"/>
    <w:rsid w:val="00C25ED7"/>
    <w:rsid w:val="00C3214A"/>
    <w:rsid w:val="00C430EA"/>
    <w:rsid w:val="00C4398E"/>
    <w:rsid w:val="00C44500"/>
    <w:rsid w:val="00C44EE5"/>
    <w:rsid w:val="00C45740"/>
    <w:rsid w:val="00C46475"/>
    <w:rsid w:val="00C468C7"/>
    <w:rsid w:val="00C46FBD"/>
    <w:rsid w:val="00C51869"/>
    <w:rsid w:val="00C52AD9"/>
    <w:rsid w:val="00C535BB"/>
    <w:rsid w:val="00C57A5F"/>
    <w:rsid w:val="00C6002E"/>
    <w:rsid w:val="00C64028"/>
    <w:rsid w:val="00C66283"/>
    <w:rsid w:val="00C676BB"/>
    <w:rsid w:val="00C718CB"/>
    <w:rsid w:val="00C73AA5"/>
    <w:rsid w:val="00C75E79"/>
    <w:rsid w:val="00C7772B"/>
    <w:rsid w:val="00C81554"/>
    <w:rsid w:val="00C825D5"/>
    <w:rsid w:val="00C82A0F"/>
    <w:rsid w:val="00C843F7"/>
    <w:rsid w:val="00C85C43"/>
    <w:rsid w:val="00C96BD7"/>
    <w:rsid w:val="00C974FD"/>
    <w:rsid w:val="00CA4C7E"/>
    <w:rsid w:val="00CA7DB0"/>
    <w:rsid w:val="00CB0270"/>
    <w:rsid w:val="00CB3BDD"/>
    <w:rsid w:val="00CB489C"/>
    <w:rsid w:val="00CB5744"/>
    <w:rsid w:val="00CC3A47"/>
    <w:rsid w:val="00CC5362"/>
    <w:rsid w:val="00CC5921"/>
    <w:rsid w:val="00CD2077"/>
    <w:rsid w:val="00CD3239"/>
    <w:rsid w:val="00CD329F"/>
    <w:rsid w:val="00CD507B"/>
    <w:rsid w:val="00CD735E"/>
    <w:rsid w:val="00CE0023"/>
    <w:rsid w:val="00CE2394"/>
    <w:rsid w:val="00CE2C5A"/>
    <w:rsid w:val="00CE34EC"/>
    <w:rsid w:val="00CE4165"/>
    <w:rsid w:val="00CE4615"/>
    <w:rsid w:val="00CE759A"/>
    <w:rsid w:val="00CE7A27"/>
    <w:rsid w:val="00CE7AA7"/>
    <w:rsid w:val="00CF17E4"/>
    <w:rsid w:val="00CF6F31"/>
    <w:rsid w:val="00D00471"/>
    <w:rsid w:val="00D055E0"/>
    <w:rsid w:val="00D0642A"/>
    <w:rsid w:val="00D10850"/>
    <w:rsid w:val="00D21CCF"/>
    <w:rsid w:val="00D2377D"/>
    <w:rsid w:val="00D23C40"/>
    <w:rsid w:val="00D23C46"/>
    <w:rsid w:val="00D24096"/>
    <w:rsid w:val="00D24314"/>
    <w:rsid w:val="00D26CA2"/>
    <w:rsid w:val="00D32E53"/>
    <w:rsid w:val="00D33531"/>
    <w:rsid w:val="00D3376E"/>
    <w:rsid w:val="00D341E0"/>
    <w:rsid w:val="00D34990"/>
    <w:rsid w:val="00D3513E"/>
    <w:rsid w:val="00D35916"/>
    <w:rsid w:val="00D36ACD"/>
    <w:rsid w:val="00D36F27"/>
    <w:rsid w:val="00D41ED7"/>
    <w:rsid w:val="00D468CA"/>
    <w:rsid w:val="00D47057"/>
    <w:rsid w:val="00D53FFA"/>
    <w:rsid w:val="00D54834"/>
    <w:rsid w:val="00D5790D"/>
    <w:rsid w:val="00D6205A"/>
    <w:rsid w:val="00D63487"/>
    <w:rsid w:val="00D67099"/>
    <w:rsid w:val="00D67245"/>
    <w:rsid w:val="00D72109"/>
    <w:rsid w:val="00D7233E"/>
    <w:rsid w:val="00D7253A"/>
    <w:rsid w:val="00D73BDE"/>
    <w:rsid w:val="00D74357"/>
    <w:rsid w:val="00D75904"/>
    <w:rsid w:val="00D80AD1"/>
    <w:rsid w:val="00D92AB2"/>
    <w:rsid w:val="00D941BE"/>
    <w:rsid w:val="00D94BFC"/>
    <w:rsid w:val="00D94FC0"/>
    <w:rsid w:val="00D96D38"/>
    <w:rsid w:val="00D97A7E"/>
    <w:rsid w:val="00DA1EEA"/>
    <w:rsid w:val="00DA323D"/>
    <w:rsid w:val="00DA43A1"/>
    <w:rsid w:val="00DA4717"/>
    <w:rsid w:val="00DA68BC"/>
    <w:rsid w:val="00DA6DD3"/>
    <w:rsid w:val="00DB04CF"/>
    <w:rsid w:val="00DB0CAB"/>
    <w:rsid w:val="00DB1931"/>
    <w:rsid w:val="00DB248C"/>
    <w:rsid w:val="00DB6153"/>
    <w:rsid w:val="00DB7283"/>
    <w:rsid w:val="00DB76E8"/>
    <w:rsid w:val="00DC0FBE"/>
    <w:rsid w:val="00DC4353"/>
    <w:rsid w:val="00DC4610"/>
    <w:rsid w:val="00DD52D5"/>
    <w:rsid w:val="00DD6770"/>
    <w:rsid w:val="00DD68A8"/>
    <w:rsid w:val="00DD7109"/>
    <w:rsid w:val="00DE06A9"/>
    <w:rsid w:val="00DE38A7"/>
    <w:rsid w:val="00DE424C"/>
    <w:rsid w:val="00DE77C5"/>
    <w:rsid w:val="00DF0958"/>
    <w:rsid w:val="00DF183C"/>
    <w:rsid w:val="00DF624D"/>
    <w:rsid w:val="00DF6CAE"/>
    <w:rsid w:val="00E07656"/>
    <w:rsid w:val="00E17BC5"/>
    <w:rsid w:val="00E21F98"/>
    <w:rsid w:val="00E23E6C"/>
    <w:rsid w:val="00E26021"/>
    <w:rsid w:val="00E27839"/>
    <w:rsid w:val="00E31F46"/>
    <w:rsid w:val="00E41B5A"/>
    <w:rsid w:val="00E4295D"/>
    <w:rsid w:val="00E42EC6"/>
    <w:rsid w:val="00E450CE"/>
    <w:rsid w:val="00E45E40"/>
    <w:rsid w:val="00E469C9"/>
    <w:rsid w:val="00E5102E"/>
    <w:rsid w:val="00E53709"/>
    <w:rsid w:val="00E55C96"/>
    <w:rsid w:val="00E55CE7"/>
    <w:rsid w:val="00E55EB3"/>
    <w:rsid w:val="00E5761E"/>
    <w:rsid w:val="00E57F0F"/>
    <w:rsid w:val="00E60716"/>
    <w:rsid w:val="00E6345A"/>
    <w:rsid w:val="00E71D31"/>
    <w:rsid w:val="00E73150"/>
    <w:rsid w:val="00E73F6E"/>
    <w:rsid w:val="00E803CA"/>
    <w:rsid w:val="00E81435"/>
    <w:rsid w:val="00E8160C"/>
    <w:rsid w:val="00E83D88"/>
    <w:rsid w:val="00E8525F"/>
    <w:rsid w:val="00E852B6"/>
    <w:rsid w:val="00E85DF5"/>
    <w:rsid w:val="00E867B0"/>
    <w:rsid w:val="00E92CF7"/>
    <w:rsid w:val="00E963C3"/>
    <w:rsid w:val="00E96839"/>
    <w:rsid w:val="00E97342"/>
    <w:rsid w:val="00E97D5B"/>
    <w:rsid w:val="00EA39FF"/>
    <w:rsid w:val="00EA439B"/>
    <w:rsid w:val="00EA4DBD"/>
    <w:rsid w:val="00EA5F10"/>
    <w:rsid w:val="00EA6E31"/>
    <w:rsid w:val="00EA6F3B"/>
    <w:rsid w:val="00EA755D"/>
    <w:rsid w:val="00EA7BF9"/>
    <w:rsid w:val="00EB0599"/>
    <w:rsid w:val="00EB0E97"/>
    <w:rsid w:val="00EB156F"/>
    <w:rsid w:val="00EB3065"/>
    <w:rsid w:val="00EB33C5"/>
    <w:rsid w:val="00EB3D02"/>
    <w:rsid w:val="00EB70A7"/>
    <w:rsid w:val="00EC029F"/>
    <w:rsid w:val="00EC08C3"/>
    <w:rsid w:val="00EC41D9"/>
    <w:rsid w:val="00EC52C7"/>
    <w:rsid w:val="00EC728F"/>
    <w:rsid w:val="00EC75A6"/>
    <w:rsid w:val="00ED5414"/>
    <w:rsid w:val="00ED58F3"/>
    <w:rsid w:val="00ED6683"/>
    <w:rsid w:val="00EE0986"/>
    <w:rsid w:val="00EE32A6"/>
    <w:rsid w:val="00EE4047"/>
    <w:rsid w:val="00EE7129"/>
    <w:rsid w:val="00EF1D12"/>
    <w:rsid w:val="00EF28E5"/>
    <w:rsid w:val="00EF48A0"/>
    <w:rsid w:val="00F01435"/>
    <w:rsid w:val="00F04187"/>
    <w:rsid w:val="00F053C5"/>
    <w:rsid w:val="00F05A96"/>
    <w:rsid w:val="00F10DB5"/>
    <w:rsid w:val="00F10DE1"/>
    <w:rsid w:val="00F17970"/>
    <w:rsid w:val="00F21C25"/>
    <w:rsid w:val="00F22444"/>
    <w:rsid w:val="00F22D7F"/>
    <w:rsid w:val="00F23139"/>
    <w:rsid w:val="00F24CF5"/>
    <w:rsid w:val="00F24E19"/>
    <w:rsid w:val="00F255AD"/>
    <w:rsid w:val="00F25B91"/>
    <w:rsid w:val="00F25E9F"/>
    <w:rsid w:val="00F26414"/>
    <w:rsid w:val="00F26592"/>
    <w:rsid w:val="00F3323F"/>
    <w:rsid w:val="00F354BF"/>
    <w:rsid w:val="00F44479"/>
    <w:rsid w:val="00F4454D"/>
    <w:rsid w:val="00F455ED"/>
    <w:rsid w:val="00F45ECB"/>
    <w:rsid w:val="00F47C46"/>
    <w:rsid w:val="00F47FBF"/>
    <w:rsid w:val="00F50188"/>
    <w:rsid w:val="00F50C55"/>
    <w:rsid w:val="00F55A56"/>
    <w:rsid w:val="00F55F4F"/>
    <w:rsid w:val="00F56043"/>
    <w:rsid w:val="00F57992"/>
    <w:rsid w:val="00F61B0B"/>
    <w:rsid w:val="00F64F48"/>
    <w:rsid w:val="00F6589B"/>
    <w:rsid w:val="00F65C0E"/>
    <w:rsid w:val="00F66D09"/>
    <w:rsid w:val="00F748F9"/>
    <w:rsid w:val="00F7663A"/>
    <w:rsid w:val="00F80A3F"/>
    <w:rsid w:val="00F81A7A"/>
    <w:rsid w:val="00F823B4"/>
    <w:rsid w:val="00F83420"/>
    <w:rsid w:val="00F84208"/>
    <w:rsid w:val="00F84A8D"/>
    <w:rsid w:val="00F8512B"/>
    <w:rsid w:val="00F852DD"/>
    <w:rsid w:val="00F859E7"/>
    <w:rsid w:val="00F866D0"/>
    <w:rsid w:val="00F86F9F"/>
    <w:rsid w:val="00F87963"/>
    <w:rsid w:val="00F92E05"/>
    <w:rsid w:val="00F940F4"/>
    <w:rsid w:val="00F9416D"/>
    <w:rsid w:val="00F958A9"/>
    <w:rsid w:val="00F95959"/>
    <w:rsid w:val="00FA0E43"/>
    <w:rsid w:val="00FA657D"/>
    <w:rsid w:val="00FA75FB"/>
    <w:rsid w:val="00FB1BAE"/>
    <w:rsid w:val="00FB26FF"/>
    <w:rsid w:val="00FB6BDF"/>
    <w:rsid w:val="00FB7C74"/>
    <w:rsid w:val="00FC71B8"/>
    <w:rsid w:val="00FC78F3"/>
    <w:rsid w:val="00FD11DD"/>
    <w:rsid w:val="00FD1A0D"/>
    <w:rsid w:val="00FD20C2"/>
    <w:rsid w:val="00FD559E"/>
    <w:rsid w:val="00FD5E88"/>
    <w:rsid w:val="00FD65D6"/>
    <w:rsid w:val="00FE07ED"/>
    <w:rsid w:val="00FE081E"/>
    <w:rsid w:val="00FE0AAF"/>
    <w:rsid w:val="00FE5900"/>
    <w:rsid w:val="00FF0BD1"/>
    <w:rsid w:val="00FF2956"/>
    <w:rsid w:val="00FF29DE"/>
    <w:rsid w:val="00FF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F02B8"/>
  <w15:docId w15:val="{9888FF2A-1555-4AF2-9D5F-25BDBB03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mbria" w:hAnsi="Arial" w:cs="Times New Roman"/>
        <w:lang w:val="en-US" w:eastAsia="en-US" w:bidi="ar-SA"/>
      </w:rPr>
    </w:rPrDefault>
    <w:pPrDefault/>
  </w:docDefaults>
  <w:latentStyles w:defLockedState="1" w:defUIPriority="0" w:defSemiHidden="0" w:defUnhideWhenUsed="0" w:defQFormat="0" w:count="376">
    <w:lsdException w:name="Normal" w:locked="0"/>
    <w:lsdException w:name="heading 1" w:qFormat="1"/>
    <w:lsdException w:name="heading 2" w:locked="0"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semiHidden="1" w:uiPriority="99" w:unhideWhenUsed="1"/>
    <w:lsdException w:name="header" w:semiHidden="1" w:uiPriority="99" w:unhideWhenUsed="1"/>
    <w:lsdException w:name="footer" w:locked="0" w:semiHidden="1" w:uiPriority="99"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locked="0"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825FDA"/>
    <w:pPr>
      <w:tabs>
        <w:tab w:val="left" w:pos="720"/>
        <w:tab w:val="left" w:pos="1440"/>
        <w:tab w:val="left" w:pos="2160"/>
        <w:tab w:val="left" w:pos="2880"/>
        <w:tab w:val="left" w:pos="4680"/>
        <w:tab w:val="left" w:pos="5400"/>
        <w:tab w:val="right" w:pos="9000"/>
      </w:tabs>
      <w:spacing w:line="240" w:lineRule="atLeast"/>
    </w:pPr>
    <w:rPr>
      <w:sz w:val="26"/>
    </w:rPr>
  </w:style>
  <w:style w:type="paragraph" w:styleId="Heading1">
    <w:name w:val="heading 1"/>
    <w:aliases w:val="Outline1"/>
    <w:next w:val="Normal"/>
    <w:link w:val="Heading1Char"/>
    <w:qFormat/>
    <w:rsid w:val="0066182C"/>
    <w:pPr>
      <w:spacing w:after="120" w:line="640" w:lineRule="exact"/>
      <w:outlineLvl w:val="0"/>
    </w:pPr>
    <w:rPr>
      <w:rFonts w:eastAsia="Times New Roman"/>
      <w:b/>
      <w:sz w:val="44"/>
    </w:rPr>
  </w:style>
  <w:style w:type="paragraph" w:styleId="Heading2">
    <w:name w:val="heading 2"/>
    <w:aliases w:val="Outline2"/>
    <w:next w:val="SGBodytext"/>
    <w:link w:val="Heading2Char"/>
    <w:unhideWhenUsed/>
    <w:qFormat/>
    <w:rsid w:val="00D3513E"/>
    <w:pPr>
      <w:keepNext/>
      <w:numPr>
        <w:numId w:val="23"/>
      </w:numPr>
      <w:spacing w:before="100" w:beforeAutospacing="1" w:after="100" w:afterAutospacing="1"/>
      <w:ind w:right="113"/>
      <w:outlineLvl w:val="1"/>
    </w:pPr>
    <w:rPr>
      <w:rFonts w:eastAsia="Times New Roman"/>
      <w:b/>
      <w:sz w:val="30"/>
      <w:lang w:val="en-GB"/>
    </w:rPr>
  </w:style>
  <w:style w:type="paragraph" w:styleId="Heading3">
    <w:name w:val="heading 3"/>
    <w:aliases w:val="Outline3"/>
    <w:next w:val="SGBodytext"/>
    <w:link w:val="Heading3Char"/>
    <w:unhideWhenUsed/>
    <w:qFormat/>
    <w:rsid w:val="009F7BBD"/>
    <w:pPr>
      <w:numPr>
        <w:ilvl w:val="1"/>
        <w:numId w:val="26"/>
      </w:numPr>
      <w:spacing w:before="180" w:after="120" w:line="300" w:lineRule="exact"/>
      <w:outlineLvl w:val="2"/>
    </w:pPr>
    <w:rPr>
      <w:rFonts w:eastAsia="Times New Roman"/>
      <w:b/>
      <w:sz w:val="24"/>
      <w:lang w:val="en-GB"/>
    </w:rPr>
  </w:style>
  <w:style w:type="paragraph" w:styleId="Heading4">
    <w:name w:val="heading 4"/>
    <w:basedOn w:val="Normal"/>
    <w:next w:val="Normal"/>
    <w:link w:val="Heading4Char"/>
    <w:semiHidden/>
    <w:unhideWhenUsed/>
    <w:qFormat/>
    <w:locked/>
    <w:rsid w:val="009A21D7"/>
    <w:pPr>
      <w:keepNext/>
      <w:keepLines/>
      <w:spacing w:before="200"/>
      <w:outlineLvl w:val="3"/>
    </w:pPr>
    <w:rPr>
      <w:rFonts w:eastAsiaTheme="majorEastAsia" w:cstheme="majorBidi"/>
      <w:b/>
      <w:bCs/>
      <w:i/>
      <w:iCs/>
    </w:rPr>
  </w:style>
  <w:style w:type="paragraph" w:styleId="Heading5">
    <w:name w:val="heading 5"/>
    <w:basedOn w:val="Normal"/>
    <w:next w:val="Normal"/>
    <w:link w:val="Heading5Char"/>
    <w:semiHidden/>
    <w:unhideWhenUsed/>
    <w:qFormat/>
    <w:locked/>
    <w:rsid w:val="009A21D7"/>
    <w:pPr>
      <w:keepNext/>
      <w:keepLines/>
      <w:spacing w:before="200"/>
      <w:outlineLvl w:val="4"/>
    </w:pPr>
    <w:rPr>
      <w:rFonts w:eastAsiaTheme="majorEastAsia" w:cstheme="majorBidi"/>
      <w:color w:val="000000" w:themeColor="text1"/>
    </w:rPr>
  </w:style>
  <w:style w:type="paragraph" w:styleId="Heading6">
    <w:name w:val="heading 6"/>
    <w:basedOn w:val="Normal"/>
    <w:next w:val="Normal"/>
    <w:link w:val="Heading6Char"/>
    <w:semiHidden/>
    <w:unhideWhenUsed/>
    <w:qFormat/>
    <w:locked/>
    <w:rsid w:val="009A21D7"/>
    <w:pPr>
      <w:keepNext/>
      <w:keepLines/>
      <w:spacing w:before="200"/>
      <w:outlineLvl w:val="5"/>
    </w:pPr>
    <w:rPr>
      <w:rFonts w:eastAsiaTheme="majorEastAsia" w:cstheme="majorBidi"/>
      <w:i/>
      <w:iCs/>
      <w:color w:val="000000" w:themeColor="text1"/>
    </w:rPr>
  </w:style>
  <w:style w:type="paragraph" w:styleId="Heading7">
    <w:name w:val="heading 7"/>
    <w:basedOn w:val="Normal"/>
    <w:next w:val="Normal"/>
    <w:link w:val="Heading7Char"/>
    <w:semiHidden/>
    <w:unhideWhenUsed/>
    <w:qFormat/>
    <w:locked/>
    <w:rsid w:val="009A21D7"/>
    <w:pPr>
      <w:keepNext/>
      <w:keepLines/>
      <w:spacing w:before="200"/>
      <w:outlineLvl w:val="6"/>
    </w:pPr>
    <w:rPr>
      <w:rFonts w:eastAsiaTheme="majorEastAsia" w:cstheme="majorBidi"/>
      <w:i/>
      <w:iCs/>
      <w:color w:val="000000" w:themeColor="text1"/>
    </w:rPr>
  </w:style>
  <w:style w:type="paragraph" w:styleId="Heading8">
    <w:name w:val="heading 8"/>
    <w:basedOn w:val="Normal"/>
    <w:next w:val="Normal"/>
    <w:link w:val="Heading8Char"/>
    <w:semiHidden/>
    <w:unhideWhenUsed/>
    <w:qFormat/>
    <w:locked/>
    <w:rsid w:val="009A21D7"/>
    <w:pPr>
      <w:keepNext/>
      <w:keepLines/>
      <w:spacing w:before="200"/>
      <w:outlineLvl w:val="7"/>
    </w:pPr>
    <w:rPr>
      <w:rFonts w:eastAsiaTheme="majorEastAsia" w:cstheme="majorBidi"/>
      <w:color w:val="000000" w:themeColor="text1"/>
    </w:rPr>
  </w:style>
  <w:style w:type="paragraph" w:styleId="Heading9">
    <w:name w:val="heading 9"/>
    <w:basedOn w:val="Normal"/>
    <w:next w:val="Normal"/>
    <w:link w:val="Heading9Char"/>
    <w:semiHidden/>
    <w:unhideWhenUsed/>
    <w:qFormat/>
    <w:locked/>
    <w:rsid w:val="009A21D7"/>
    <w:pPr>
      <w:keepNext/>
      <w:keepLines/>
      <w:spacing w:before="200"/>
      <w:outlineLvl w:val="8"/>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uiPriority w:val="99"/>
    <w:unhideWhenUsed/>
    <w:rsid w:val="00AA68EC"/>
    <w:pPr>
      <w:spacing w:after="100" w:line="240" w:lineRule="exact"/>
    </w:pPr>
    <w:rPr>
      <w:rFonts w:eastAsia="Calibri"/>
      <w:sz w:val="22"/>
    </w:rPr>
  </w:style>
  <w:style w:type="character" w:customStyle="1" w:styleId="CharChar3">
    <w:name w:val="Char Char3"/>
    <w:semiHidden/>
    <w:locked/>
    <w:rsid w:val="00CD329F"/>
    <w:rPr>
      <w:rFonts w:ascii="Arial" w:hAnsi="Arial"/>
      <w:sz w:val="24"/>
      <w:szCs w:val="24"/>
    </w:rPr>
  </w:style>
  <w:style w:type="character" w:styleId="FootnoteReference">
    <w:name w:val="footnote reference"/>
    <w:uiPriority w:val="99"/>
    <w:unhideWhenUsed/>
    <w:rsid w:val="00AA68EC"/>
    <w:rPr>
      <w:rFonts w:ascii="Arial" w:hAnsi="Arial"/>
      <w:sz w:val="26"/>
      <w:vertAlign w:val="superscript"/>
    </w:rPr>
  </w:style>
  <w:style w:type="paragraph" w:styleId="Caption">
    <w:name w:val="caption"/>
    <w:basedOn w:val="Normal"/>
    <w:next w:val="Normal"/>
    <w:qFormat/>
    <w:locked/>
    <w:rsid w:val="00073B83"/>
    <w:pPr>
      <w:spacing w:before="120" w:after="120" w:line="276" w:lineRule="auto"/>
    </w:pPr>
    <w:rPr>
      <w:rFonts w:eastAsia="Calibri"/>
      <w:b/>
      <w:sz w:val="22"/>
    </w:rPr>
  </w:style>
  <w:style w:type="character" w:styleId="CommentReference">
    <w:name w:val="annotation reference"/>
    <w:uiPriority w:val="99"/>
    <w:locked/>
    <w:rsid w:val="00073B83"/>
    <w:rPr>
      <w:rFonts w:ascii="Arial" w:hAnsi="Arial"/>
      <w:sz w:val="16"/>
      <w:szCs w:val="16"/>
    </w:rPr>
  </w:style>
  <w:style w:type="character" w:customStyle="1" w:styleId="CharChar2">
    <w:name w:val="Char Char2"/>
    <w:semiHidden/>
    <w:locked/>
    <w:rsid w:val="00CD329F"/>
    <w:rPr>
      <w:rFonts w:ascii="Arial" w:hAnsi="Arial"/>
    </w:rPr>
  </w:style>
  <w:style w:type="paragraph" w:styleId="BalloonText">
    <w:name w:val="Balloon Text"/>
    <w:basedOn w:val="Normal"/>
    <w:locked/>
    <w:rsid w:val="00073B83"/>
    <w:rPr>
      <w:sz w:val="18"/>
    </w:rPr>
  </w:style>
  <w:style w:type="paragraph" w:styleId="Footer">
    <w:name w:val="footer"/>
    <w:basedOn w:val="Normal"/>
    <w:link w:val="FooterChar"/>
    <w:uiPriority w:val="99"/>
    <w:rsid w:val="00073B83"/>
    <w:pPr>
      <w:tabs>
        <w:tab w:val="center" w:pos="4153"/>
        <w:tab w:val="right" w:pos="8306"/>
      </w:tabs>
    </w:pPr>
  </w:style>
  <w:style w:type="character" w:styleId="PageNumber">
    <w:name w:val="page number"/>
    <w:locked/>
    <w:rsid w:val="00073B83"/>
    <w:rPr>
      <w:rFonts w:ascii="Arial" w:hAnsi="Arial"/>
    </w:rPr>
  </w:style>
  <w:style w:type="paragraph" w:customStyle="1" w:styleId="SGBodytext">
    <w:name w:val="SG Body text"/>
    <w:autoRedefine/>
    <w:qFormat/>
    <w:rsid w:val="007C7952"/>
    <w:pPr>
      <w:tabs>
        <w:tab w:val="left" w:pos="360"/>
      </w:tabs>
      <w:spacing w:before="100" w:beforeAutospacing="1" w:after="100" w:afterAutospacing="1"/>
      <w:ind w:left="360" w:right="113"/>
    </w:pPr>
    <w:rPr>
      <w:rFonts w:eastAsia="Times New Roman" w:cs="Arial"/>
      <w:sz w:val="24"/>
      <w:lang w:val="en-GB"/>
    </w:rPr>
  </w:style>
  <w:style w:type="paragraph" w:customStyle="1" w:styleId="SGNumbered">
    <w:name w:val="SG Numbered"/>
    <w:autoRedefine/>
    <w:qFormat/>
    <w:rsid w:val="00577FF9"/>
    <w:pPr>
      <w:numPr>
        <w:numId w:val="3"/>
      </w:numPr>
      <w:spacing w:after="120"/>
      <w:ind w:left="714" w:hanging="357"/>
    </w:pPr>
    <w:rPr>
      <w:rFonts w:eastAsia="Times New Roman"/>
      <w:sz w:val="24"/>
      <w:lang w:val="en-GB"/>
    </w:rPr>
  </w:style>
  <w:style w:type="paragraph" w:customStyle="1" w:styleId="SGBullet">
    <w:name w:val="SG Bullet"/>
    <w:autoRedefine/>
    <w:qFormat/>
    <w:rsid w:val="00DC0FBE"/>
    <w:pPr>
      <w:numPr>
        <w:numId w:val="11"/>
      </w:numPr>
      <w:spacing w:after="120" w:line="260" w:lineRule="atLeast"/>
      <w:ind w:left="709" w:hanging="349"/>
    </w:pPr>
    <w:rPr>
      <w:rFonts w:eastAsia="Calibri"/>
      <w:sz w:val="24"/>
      <w:szCs w:val="24"/>
      <w:lang w:val="en-GB" w:eastAsia="en-GB"/>
    </w:rPr>
  </w:style>
  <w:style w:type="table" w:styleId="Table3Deffects2">
    <w:name w:val="Table 3D effects 2"/>
    <w:basedOn w:val="TableNormal"/>
    <w:locked/>
    <w:rsid w:val="004009E7"/>
    <w:pPr>
      <w:tabs>
        <w:tab w:val="left" w:pos="720"/>
        <w:tab w:val="left" w:pos="1440"/>
        <w:tab w:val="left" w:pos="2160"/>
        <w:tab w:val="left" w:pos="2880"/>
        <w:tab w:val="left" w:pos="4680"/>
        <w:tab w:val="left" w:pos="5400"/>
        <w:tab w:val="right" w:pos="9000"/>
      </w:tabs>
      <w:spacing w:line="24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locked/>
    <w:rsid w:val="004009E7"/>
    <w:pPr>
      <w:tabs>
        <w:tab w:val="left" w:pos="720"/>
        <w:tab w:val="left" w:pos="1440"/>
        <w:tab w:val="left" w:pos="2160"/>
        <w:tab w:val="left" w:pos="2880"/>
        <w:tab w:val="left" w:pos="4680"/>
        <w:tab w:val="left" w:pos="5400"/>
        <w:tab w:val="right" w:pos="9000"/>
      </w:tabs>
      <w:spacing w:line="24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ExecSummaryBodyText">
    <w:name w:val="Exec Summary Body Text"/>
    <w:basedOn w:val="Normal"/>
    <w:semiHidden/>
    <w:locked/>
    <w:rsid w:val="00CD329F"/>
    <w:pPr>
      <w:numPr>
        <w:numId w:val="1"/>
      </w:numPr>
      <w:spacing w:after="240"/>
    </w:pPr>
  </w:style>
  <w:style w:type="character" w:styleId="Hyperlink">
    <w:name w:val="Hyperlink"/>
    <w:basedOn w:val="DefaultParagraphFont"/>
    <w:uiPriority w:val="99"/>
    <w:rsid w:val="00E5761E"/>
    <w:rPr>
      <w:rFonts w:ascii="Arial" w:hAnsi="Arial"/>
      <w:color w:val="0000FF" w:themeColor="hyperlink"/>
      <w:u w:val="single"/>
    </w:rPr>
  </w:style>
  <w:style w:type="table" w:styleId="TableGrid">
    <w:name w:val="Table Grid"/>
    <w:aliases w:val="SG Table 1"/>
    <w:basedOn w:val="TableNormal"/>
    <w:uiPriority w:val="59"/>
    <w:rsid w:val="00BE71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2" w:type="dxa"/>
        <w:left w:w="142" w:type="dxa"/>
        <w:bottom w:w="142" w:type="dxa"/>
        <w:right w:w="142" w:type="dxa"/>
      </w:tblCellMar>
    </w:tblPr>
  </w:style>
  <w:style w:type="paragraph" w:styleId="Header">
    <w:name w:val="header"/>
    <w:basedOn w:val="Normal"/>
    <w:link w:val="HeaderChar"/>
    <w:uiPriority w:val="99"/>
    <w:rsid w:val="00E5761E"/>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SGBoldCharacter">
    <w:name w:val="SG Bold (Character)"/>
    <w:basedOn w:val="DefaultParagraphFont"/>
    <w:uiPriority w:val="1"/>
    <w:qFormat/>
    <w:rsid w:val="00CB3BDD"/>
    <w:rPr>
      <w:rFonts w:ascii="Arial" w:hAnsi="Arial"/>
      <w:b/>
    </w:rPr>
  </w:style>
  <w:style w:type="character" w:customStyle="1" w:styleId="SGItalicCharacter">
    <w:name w:val="SG Italic (Character)"/>
    <w:uiPriority w:val="1"/>
    <w:qFormat/>
    <w:rsid w:val="004A1C5D"/>
    <w:rPr>
      <w:rFonts w:ascii="Arial" w:hAnsi="Arial"/>
      <w:b w:val="0"/>
      <w:i/>
    </w:rPr>
  </w:style>
  <w:style w:type="character" w:customStyle="1" w:styleId="SGBoldItalicCharacter">
    <w:name w:val="SG Bold Italic (Character)"/>
    <w:basedOn w:val="SGItalicCharacter"/>
    <w:uiPriority w:val="1"/>
    <w:qFormat/>
    <w:rsid w:val="004A1C5D"/>
    <w:rPr>
      <w:rFonts w:ascii="Arial" w:hAnsi="Arial"/>
      <w:b/>
      <w:i/>
    </w:rPr>
  </w:style>
  <w:style w:type="character" w:customStyle="1" w:styleId="HeaderChar">
    <w:name w:val="Header Char"/>
    <w:basedOn w:val="DefaultParagraphFont"/>
    <w:link w:val="Header"/>
    <w:uiPriority w:val="99"/>
    <w:rsid w:val="00E5761E"/>
    <w:rPr>
      <w:rFonts w:ascii="Arial" w:eastAsia="Times New Roman" w:hAnsi="Arial"/>
      <w:sz w:val="24"/>
      <w:lang w:val="en-GB"/>
    </w:rPr>
  </w:style>
  <w:style w:type="paragraph" w:customStyle="1" w:styleId="SGBodyIndent">
    <w:name w:val="SG Body Indent"/>
    <w:qFormat/>
    <w:rsid w:val="00C66283"/>
    <w:pPr>
      <w:spacing w:after="120" w:line="260" w:lineRule="atLeast"/>
      <w:ind w:left="284"/>
    </w:pPr>
    <w:rPr>
      <w:rFonts w:eastAsia="Times New Roman"/>
      <w:sz w:val="22"/>
      <w:lang w:val="en-GB"/>
    </w:rPr>
  </w:style>
  <w:style w:type="paragraph" w:styleId="NormalWeb">
    <w:name w:val="Normal (Web)"/>
    <w:basedOn w:val="Normal"/>
    <w:uiPriority w:val="99"/>
    <w:locked/>
    <w:rsid w:val="00E5761E"/>
    <w:rPr>
      <w:szCs w:val="24"/>
    </w:rPr>
  </w:style>
  <w:style w:type="table" w:customStyle="1" w:styleId="SGTable2">
    <w:name w:val="SG Table 2"/>
    <w:basedOn w:val="TableNormal"/>
    <w:uiPriority w:val="99"/>
    <w:qFormat/>
    <w:rsid w:val="00BE71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2" w:type="dxa"/>
        <w:left w:w="142" w:type="dxa"/>
        <w:bottom w:w="142" w:type="dxa"/>
        <w:right w:w="142" w:type="dxa"/>
      </w:tblCellMar>
    </w:tblPr>
    <w:tcPr>
      <w:shd w:val="clear" w:color="auto" w:fill="BFBFBF" w:themeFill="background1" w:themeFillShade="BF"/>
    </w:tcPr>
    <w:tblStylePr w:type="firstRow">
      <w:rPr>
        <w:color w:val="000000" w:themeColor="text1"/>
      </w:rPr>
      <w:tblPr/>
      <w:tcPr>
        <w:shd w:val="clear" w:color="auto" w:fill="A6A6A6" w:themeFill="background1" w:themeFillShade="A6"/>
      </w:tcPr>
    </w:tblStylePr>
    <w:tblStylePr w:type="lastRow">
      <w:tblPr/>
      <w:tcPr>
        <w:shd w:val="clear" w:color="auto" w:fill="BFBFBF" w:themeFill="background1" w:themeFillShade="BF"/>
      </w:tcPr>
    </w:tblStylePr>
    <w:tblStylePr w:type="firstCol">
      <w:tblPr/>
      <w:tcPr>
        <w:shd w:val="clear" w:color="auto" w:fill="BFBFBF" w:themeFill="background1" w:themeFillShade="BF"/>
      </w:tcPr>
    </w:tblStylePr>
    <w:tblStylePr w:type="lastCol">
      <w:rPr>
        <w:rFonts w:ascii="Arial" w:hAnsi="Arial"/>
        <w:sz w:val="20"/>
      </w:rPr>
      <w:tblPr/>
      <w:tcPr>
        <w:shd w:val="clear" w:color="auto" w:fill="BFBFBF" w:themeFill="background1"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GTableHeader">
    <w:name w:val="SG Table Header"/>
    <w:qFormat/>
    <w:rsid w:val="00AA68EC"/>
    <w:pPr>
      <w:spacing w:line="240" w:lineRule="exact"/>
    </w:pPr>
    <w:rPr>
      <w:rFonts w:eastAsia="Times New Roman"/>
      <w:b/>
      <w:sz w:val="22"/>
      <w:lang w:val="en-GB"/>
    </w:rPr>
  </w:style>
  <w:style w:type="paragraph" w:customStyle="1" w:styleId="SGTableText">
    <w:name w:val="SG Table Text"/>
    <w:qFormat/>
    <w:rsid w:val="008C1090"/>
    <w:pPr>
      <w:spacing w:line="240" w:lineRule="exact"/>
    </w:pPr>
    <w:rPr>
      <w:rFonts w:eastAsia="Times New Roman"/>
      <w:lang w:val="en-GB"/>
    </w:rPr>
  </w:style>
  <w:style w:type="character" w:customStyle="1" w:styleId="Clearbold">
    <w:name w:val="Clear bold"/>
    <w:aliases w:val="italic &amp; bolditalic"/>
    <w:basedOn w:val="DefaultParagraphFont"/>
    <w:uiPriority w:val="1"/>
    <w:rsid w:val="00CD3239"/>
    <w:rPr>
      <w:rFonts w:ascii="Arial" w:hAnsi="Arial"/>
    </w:rPr>
  </w:style>
  <w:style w:type="paragraph" w:customStyle="1" w:styleId="SGboxtext">
    <w:name w:val="SG box text"/>
    <w:basedOn w:val="SGBodytext"/>
    <w:qFormat/>
    <w:rsid w:val="002F0E89"/>
    <w:pPr>
      <w:pBdr>
        <w:top w:val="single" w:sz="4" w:space="4" w:color="000000" w:themeColor="text1"/>
        <w:left w:val="single" w:sz="4" w:space="4" w:color="000000" w:themeColor="text1"/>
        <w:bottom w:val="single" w:sz="4" w:space="4" w:color="000000" w:themeColor="text1"/>
        <w:right w:val="single" w:sz="4" w:space="4" w:color="000000" w:themeColor="text1"/>
      </w:pBdr>
    </w:pPr>
    <w:rPr>
      <w:b/>
    </w:rPr>
  </w:style>
  <w:style w:type="paragraph" w:customStyle="1" w:styleId="SGRightItalic">
    <w:name w:val="SG Right Italic"/>
    <w:basedOn w:val="SGboxtext"/>
    <w:rsid w:val="00AA68EC"/>
    <w:pPr>
      <w:pBdr>
        <w:top w:val="none" w:sz="0" w:space="0" w:color="auto"/>
        <w:left w:val="none" w:sz="0" w:space="0" w:color="auto"/>
        <w:bottom w:val="none" w:sz="0" w:space="0" w:color="auto"/>
        <w:right w:val="none" w:sz="0" w:space="0" w:color="auto"/>
      </w:pBdr>
      <w:jc w:val="right"/>
    </w:pPr>
    <w:rPr>
      <w:i/>
    </w:rPr>
  </w:style>
  <w:style w:type="paragraph" w:customStyle="1" w:styleId="SGRightBold">
    <w:name w:val="SG Right Bold"/>
    <w:basedOn w:val="SGBodytext"/>
    <w:rsid w:val="00AA68EC"/>
    <w:pPr>
      <w:jc w:val="right"/>
    </w:pPr>
    <w:rPr>
      <w:b/>
    </w:rPr>
  </w:style>
  <w:style w:type="paragraph" w:customStyle="1" w:styleId="SGBoxtextShaded">
    <w:name w:val="SG Box text Shaded"/>
    <w:basedOn w:val="SGboxtext"/>
    <w:rsid w:val="001D2A20"/>
    <w:pPr>
      <w:shd w:val="clear" w:color="auto" w:fill="E6D7E8"/>
    </w:pPr>
  </w:style>
  <w:style w:type="character" w:customStyle="1" w:styleId="Heading1Char">
    <w:name w:val="Heading 1 Char"/>
    <w:aliases w:val="Outline1 Char"/>
    <w:basedOn w:val="DefaultParagraphFont"/>
    <w:link w:val="Heading1"/>
    <w:rsid w:val="0066182C"/>
    <w:rPr>
      <w:rFonts w:eastAsia="Times New Roman"/>
      <w:b/>
      <w:sz w:val="44"/>
    </w:rPr>
  </w:style>
  <w:style w:type="paragraph" w:styleId="TOC1">
    <w:name w:val="toc 1"/>
    <w:aliases w:val="SG TOC 1"/>
    <w:basedOn w:val="Normal"/>
    <w:next w:val="Normal"/>
    <w:autoRedefine/>
    <w:uiPriority w:val="39"/>
    <w:rsid w:val="00885896"/>
    <w:pPr>
      <w:tabs>
        <w:tab w:val="clear" w:pos="720"/>
        <w:tab w:val="clear" w:pos="1440"/>
        <w:tab w:val="clear" w:pos="2160"/>
        <w:tab w:val="clear" w:pos="2880"/>
        <w:tab w:val="clear" w:pos="4680"/>
        <w:tab w:val="clear" w:pos="5400"/>
        <w:tab w:val="clear" w:pos="9000"/>
        <w:tab w:val="right" w:leader="dot" w:pos="9639"/>
      </w:tabs>
      <w:spacing w:after="100" w:line="300" w:lineRule="atLeast"/>
    </w:pPr>
    <w:rPr>
      <w:b/>
      <w:noProof/>
    </w:rPr>
  </w:style>
  <w:style w:type="paragraph" w:styleId="TOC2">
    <w:name w:val="toc 2"/>
    <w:aliases w:val="SG TOC 2"/>
    <w:basedOn w:val="Normal"/>
    <w:next w:val="Normal"/>
    <w:autoRedefine/>
    <w:uiPriority w:val="39"/>
    <w:rsid w:val="00BE4DDD"/>
    <w:pPr>
      <w:tabs>
        <w:tab w:val="clear" w:pos="720"/>
        <w:tab w:val="clear" w:pos="1440"/>
        <w:tab w:val="clear" w:pos="2160"/>
        <w:tab w:val="clear" w:pos="2880"/>
        <w:tab w:val="clear" w:pos="4680"/>
        <w:tab w:val="clear" w:pos="5400"/>
        <w:tab w:val="clear" w:pos="9000"/>
        <w:tab w:val="right" w:leader="dot" w:pos="9639"/>
      </w:tabs>
      <w:spacing w:after="100" w:line="300" w:lineRule="atLeast"/>
    </w:pPr>
  </w:style>
  <w:style w:type="paragraph" w:styleId="TOC3">
    <w:name w:val="toc 3"/>
    <w:aliases w:val="SG TOC 3"/>
    <w:basedOn w:val="TOC1"/>
    <w:next w:val="Normal"/>
    <w:autoRedefine/>
    <w:uiPriority w:val="39"/>
    <w:rsid w:val="00D21CCF"/>
    <w:pPr>
      <w:spacing w:after="120" w:line="300" w:lineRule="exact"/>
      <w:ind w:left="567"/>
    </w:pPr>
    <w:rPr>
      <w:b w:val="0"/>
      <w:color w:val="000000" w:themeColor="text1"/>
    </w:rPr>
  </w:style>
  <w:style w:type="paragraph" w:styleId="Index1">
    <w:name w:val="index 1"/>
    <w:basedOn w:val="Normal"/>
    <w:next w:val="Normal"/>
    <w:autoRedefine/>
    <w:rsid w:val="00AA68EC"/>
    <w:pPr>
      <w:tabs>
        <w:tab w:val="clear" w:pos="720"/>
        <w:tab w:val="clear" w:pos="1440"/>
        <w:tab w:val="clear" w:pos="2160"/>
        <w:tab w:val="clear" w:pos="2880"/>
        <w:tab w:val="clear" w:pos="4680"/>
        <w:tab w:val="clear" w:pos="5400"/>
        <w:tab w:val="clear" w:pos="9000"/>
      </w:tabs>
      <w:spacing w:line="300" w:lineRule="exact"/>
      <w:ind w:left="198" w:hanging="198"/>
    </w:pPr>
  </w:style>
  <w:style w:type="paragraph" w:styleId="Index2">
    <w:name w:val="index 2"/>
    <w:basedOn w:val="Normal"/>
    <w:next w:val="Normal"/>
    <w:autoRedefine/>
    <w:rsid w:val="00AA68EC"/>
    <w:pPr>
      <w:tabs>
        <w:tab w:val="clear" w:pos="720"/>
        <w:tab w:val="clear" w:pos="1440"/>
        <w:tab w:val="clear" w:pos="2160"/>
        <w:tab w:val="clear" w:pos="2880"/>
        <w:tab w:val="clear" w:pos="4680"/>
        <w:tab w:val="clear" w:pos="5400"/>
        <w:tab w:val="clear" w:pos="9000"/>
      </w:tabs>
      <w:spacing w:line="300" w:lineRule="exact"/>
      <w:ind w:left="396" w:hanging="198"/>
    </w:pPr>
  </w:style>
  <w:style w:type="paragraph" w:styleId="Index3">
    <w:name w:val="index 3"/>
    <w:basedOn w:val="Normal"/>
    <w:next w:val="Normal"/>
    <w:autoRedefine/>
    <w:rsid w:val="00AA68EC"/>
    <w:pPr>
      <w:tabs>
        <w:tab w:val="clear" w:pos="720"/>
        <w:tab w:val="clear" w:pos="1440"/>
        <w:tab w:val="clear" w:pos="2160"/>
        <w:tab w:val="clear" w:pos="2880"/>
        <w:tab w:val="clear" w:pos="4680"/>
        <w:tab w:val="clear" w:pos="5400"/>
        <w:tab w:val="clear" w:pos="9000"/>
      </w:tabs>
      <w:spacing w:line="300" w:lineRule="exact"/>
      <w:ind w:left="601" w:hanging="198"/>
    </w:pPr>
  </w:style>
  <w:style w:type="paragraph" w:styleId="Index4">
    <w:name w:val="index 4"/>
    <w:basedOn w:val="Normal"/>
    <w:next w:val="Normal"/>
    <w:autoRedefine/>
    <w:rsid w:val="00AA68EC"/>
    <w:pPr>
      <w:tabs>
        <w:tab w:val="clear" w:pos="720"/>
        <w:tab w:val="clear" w:pos="1440"/>
        <w:tab w:val="clear" w:pos="2160"/>
        <w:tab w:val="clear" w:pos="2880"/>
        <w:tab w:val="clear" w:pos="4680"/>
        <w:tab w:val="clear" w:pos="5400"/>
        <w:tab w:val="clear" w:pos="9000"/>
      </w:tabs>
      <w:spacing w:line="240" w:lineRule="auto"/>
      <w:ind w:left="800" w:hanging="200"/>
    </w:pPr>
  </w:style>
  <w:style w:type="character" w:customStyle="1" w:styleId="Heading2Char">
    <w:name w:val="Heading 2 Char"/>
    <w:aliases w:val="Outline2 Char"/>
    <w:basedOn w:val="DefaultParagraphFont"/>
    <w:link w:val="Heading2"/>
    <w:rsid w:val="00D3513E"/>
    <w:rPr>
      <w:rFonts w:eastAsia="Times New Roman"/>
      <w:b/>
      <w:sz w:val="30"/>
      <w:lang w:val="en-GB"/>
    </w:rPr>
  </w:style>
  <w:style w:type="character" w:customStyle="1" w:styleId="Heading3Char">
    <w:name w:val="Heading 3 Char"/>
    <w:aliases w:val="Outline3 Char"/>
    <w:basedOn w:val="DefaultParagraphFont"/>
    <w:link w:val="Heading3"/>
    <w:rsid w:val="009F7BBD"/>
    <w:rPr>
      <w:rFonts w:eastAsia="Times New Roman"/>
      <w:b/>
      <w:sz w:val="24"/>
      <w:lang w:val="en-GB"/>
    </w:rPr>
  </w:style>
  <w:style w:type="character" w:customStyle="1" w:styleId="Heading4Char">
    <w:name w:val="Heading 4 Char"/>
    <w:basedOn w:val="DefaultParagraphFont"/>
    <w:link w:val="Heading4"/>
    <w:semiHidden/>
    <w:rsid w:val="009A21D7"/>
    <w:rPr>
      <w:rFonts w:eastAsiaTheme="majorEastAsia" w:cstheme="majorBidi"/>
      <w:b/>
      <w:bCs/>
      <w:i/>
      <w:iCs/>
    </w:rPr>
  </w:style>
  <w:style w:type="character" w:customStyle="1" w:styleId="Heading5Char">
    <w:name w:val="Heading 5 Char"/>
    <w:basedOn w:val="DefaultParagraphFont"/>
    <w:link w:val="Heading5"/>
    <w:semiHidden/>
    <w:rsid w:val="009A21D7"/>
    <w:rPr>
      <w:rFonts w:eastAsiaTheme="majorEastAsia" w:cstheme="majorBidi"/>
      <w:color w:val="000000" w:themeColor="text1"/>
    </w:rPr>
  </w:style>
  <w:style w:type="character" w:customStyle="1" w:styleId="Heading6Char">
    <w:name w:val="Heading 6 Char"/>
    <w:basedOn w:val="DefaultParagraphFont"/>
    <w:link w:val="Heading6"/>
    <w:semiHidden/>
    <w:rsid w:val="009A21D7"/>
    <w:rPr>
      <w:rFonts w:eastAsiaTheme="majorEastAsia" w:cstheme="majorBidi"/>
      <w:i/>
      <w:iCs/>
      <w:color w:val="000000" w:themeColor="text1"/>
    </w:rPr>
  </w:style>
  <w:style w:type="character" w:customStyle="1" w:styleId="Heading7Char">
    <w:name w:val="Heading 7 Char"/>
    <w:basedOn w:val="DefaultParagraphFont"/>
    <w:link w:val="Heading7"/>
    <w:semiHidden/>
    <w:rsid w:val="009A21D7"/>
    <w:rPr>
      <w:rFonts w:eastAsiaTheme="majorEastAsia" w:cstheme="majorBidi"/>
      <w:i/>
      <w:iCs/>
      <w:color w:val="000000" w:themeColor="text1"/>
    </w:rPr>
  </w:style>
  <w:style w:type="character" w:customStyle="1" w:styleId="Heading8Char">
    <w:name w:val="Heading 8 Char"/>
    <w:basedOn w:val="DefaultParagraphFont"/>
    <w:link w:val="Heading8"/>
    <w:semiHidden/>
    <w:rsid w:val="009A21D7"/>
    <w:rPr>
      <w:rFonts w:eastAsiaTheme="majorEastAsia" w:cstheme="majorBidi"/>
      <w:color w:val="000000" w:themeColor="text1"/>
    </w:rPr>
  </w:style>
  <w:style w:type="character" w:customStyle="1" w:styleId="Heading9Char">
    <w:name w:val="Heading 9 Char"/>
    <w:basedOn w:val="DefaultParagraphFont"/>
    <w:link w:val="Heading9"/>
    <w:semiHidden/>
    <w:rsid w:val="009A21D7"/>
    <w:rPr>
      <w:rFonts w:eastAsiaTheme="majorEastAsia" w:cstheme="majorBidi"/>
      <w:i/>
      <w:iCs/>
      <w:color w:val="000000" w:themeColor="text1"/>
    </w:rPr>
  </w:style>
  <w:style w:type="paragraph" w:styleId="ListParagraph">
    <w:name w:val="List Paragraph"/>
    <w:basedOn w:val="Normal"/>
    <w:uiPriority w:val="34"/>
    <w:qFormat/>
    <w:locked/>
    <w:rsid w:val="005633D9"/>
    <w:pPr>
      <w:numPr>
        <w:ilvl w:val="2"/>
        <w:numId w:val="30"/>
      </w:numPr>
      <w:tabs>
        <w:tab w:val="clear" w:pos="720"/>
        <w:tab w:val="left" w:pos="0"/>
      </w:tabs>
      <w:spacing w:before="100" w:beforeAutospacing="1" w:after="100" w:afterAutospacing="1" w:line="240" w:lineRule="auto"/>
      <w:ind w:right="113"/>
      <w:contextualSpacing/>
    </w:pPr>
    <w:rPr>
      <w:rFonts w:cs="Arial"/>
      <w:iCs/>
      <w:szCs w:val="26"/>
    </w:rPr>
  </w:style>
  <w:style w:type="paragraph" w:customStyle="1" w:styleId="Heading1purple">
    <w:name w:val="Heading 1 purple"/>
    <w:basedOn w:val="Heading1"/>
    <w:rsid w:val="00BA2873"/>
    <w:rPr>
      <w:color w:val="82358C"/>
    </w:rPr>
  </w:style>
  <w:style w:type="paragraph" w:customStyle="1" w:styleId="Heading2purple">
    <w:name w:val="Heading 2 purple"/>
    <w:basedOn w:val="Heading2"/>
    <w:next w:val="SGBodytext"/>
    <w:rsid w:val="00BA2873"/>
    <w:rPr>
      <w:color w:val="82358C"/>
    </w:rPr>
  </w:style>
  <w:style w:type="paragraph" w:customStyle="1" w:styleId="Heading3purple">
    <w:name w:val="Heading 3 purple"/>
    <w:basedOn w:val="Heading3"/>
    <w:next w:val="SGBodytext"/>
    <w:rsid w:val="00BA2873"/>
    <w:rPr>
      <w:color w:val="82358C"/>
    </w:rPr>
  </w:style>
  <w:style w:type="paragraph" w:styleId="TOCHeading">
    <w:name w:val="TOC Heading"/>
    <w:basedOn w:val="Heading3purple"/>
    <w:next w:val="Normal"/>
    <w:uiPriority w:val="39"/>
    <w:unhideWhenUsed/>
    <w:qFormat/>
    <w:locked/>
    <w:rsid w:val="00D468CA"/>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SGTablebullets">
    <w:name w:val="SG Table bullets"/>
    <w:basedOn w:val="Normal"/>
    <w:qFormat/>
    <w:rsid w:val="00A13957"/>
    <w:pPr>
      <w:numPr>
        <w:numId w:val="4"/>
      </w:numPr>
      <w:tabs>
        <w:tab w:val="clear" w:pos="720"/>
        <w:tab w:val="clear" w:pos="1440"/>
        <w:tab w:val="clear" w:pos="2160"/>
        <w:tab w:val="clear" w:pos="2880"/>
        <w:tab w:val="clear" w:pos="4680"/>
        <w:tab w:val="clear" w:pos="5400"/>
        <w:tab w:val="clear" w:pos="9000"/>
      </w:tabs>
      <w:spacing w:after="40" w:line="240" w:lineRule="exact"/>
      <w:ind w:left="288" w:hanging="288"/>
    </w:pPr>
    <w:rPr>
      <w:rFonts w:eastAsia="Times New Roman"/>
      <w:sz w:val="22"/>
      <w:lang w:val="en-GB"/>
    </w:rPr>
  </w:style>
  <w:style w:type="character" w:styleId="PlaceholderText">
    <w:name w:val="Placeholder Text"/>
    <w:basedOn w:val="DefaultParagraphFont"/>
    <w:uiPriority w:val="99"/>
    <w:semiHidden/>
    <w:locked/>
    <w:rsid w:val="006C2CF8"/>
    <w:rPr>
      <w:color w:val="808080"/>
    </w:rPr>
  </w:style>
  <w:style w:type="paragraph" w:customStyle="1" w:styleId="SGGraphTableTitle">
    <w:name w:val="SG Graph/Table Title"/>
    <w:basedOn w:val="Normal"/>
    <w:next w:val="SGBodytext"/>
    <w:rsid w:val="00583C10"/>
    <w:pPr>
      <w:keepNext/>
      <w:spacing w:before="120" w:after="120"/>
    </w:pPr>
  </w:style>
  <w:style w:type="paragraph" w:customStyle="1" w:styleId="SGTableBody1">
    <w:name w:val="SG Table Body 1"/>
    <w:basedOn w:val="Normal"/>
    <w:rsid w:val="001D2A20"/>
    <w:pPr>
      <w:jc w:val="both"/>
    </w:pPr>
    <w:rPr>
      <w:rFonts w:cs="Arial"/>
      <w:sz w:val="20"/>
      <w:szCs w:val="18"/>
    </w:rPr>
  </w:style>
  <w:style w:type="paragraph" w:customStyle="1" w:styleId="SGTableTitle1">
    <w:name w:val="SG Table Title 1"/>
    <w:basedOn w:val="Normal"/>
    <w:rsid w:val="00AD50FD"/>
    <w:rPr>
      <w:rFonts w:cs="Arial"/>
      <w:b/>
      <w:color w:val="FFFFFF" w:themeColor="background1"/>
      <w:sz w:val="18"/>
      <w:szCs w:val="18"/>
    </w:rPr>
  </w:style>
  <w:style w:type="paragraph" w:customStyle="1" w:styleId="SGCentredCharacter">
    <w:name w:val="SG Centred (Character)"/>
    <w:basedOn w:val="SGTableBody1"/>
    <w:rsid w:val="00AD50FD"/>
    <w:pPr>
      <w:jc w:val="center"/>
    </w:pPr>
  </w:style>
  <w:style w:type="table" w:customStyle="1" w:styleId="SGTableStyle1">
    <w:name w:val="SG Table Style 1"/>
    <w:basedOn w:val="TableNormal"/>
    <w:uiPriority w:val="99"/>
    <w:rsid w:val="00745A56"/>
    <w:rPr>
      <w:sz w:val="18"/>
    </w:rPr>
    <w:tblPr>
      <w:tblStyleRowBandSize w:val="1"/>
      <w:tblBorders>
        <w:top w:val="single" w:sz="4" w:space="0" w:color="auto"/>
        <w:bottom w:val="single" w:sz="4" w:space="0" w:color="auto"/>
        <w:insideH w:val="single" w:sz="4" w:space="0" w:color="auto"/>
      </w:tblBorders>
      <w:tblCellMar>
        <w:top w:w="113" w:type="dxa"/>
        <w:bottom w:w="113" w:type="dxa"/>
      </w:tblCellMar>
    </w:tblPr>
    <w:tblStylePr w:type="firstRow">
      <w:pPr>
        <w:wordWrap/>
        <w:spacing w:beforeLines="0" w:before="60" w:beforeAutospacing="0" w:afterLines="0" w:after="60" w:afterAutospacing="0"/>
        <w:jc w:val="left"/>
      </w:pPr>
      <w:rPr>
        <w:rFonts w:ascii="Arial" w:hAnsi="Arial"/>
        <w:color w:val="auto"/>
        <w:sz w:val="18"/>
      </w:rPr>
      <w:tblPr/>
      <w:tcPr>
        <w:shd w:val="clear" w:color="auto" w:fill="EEECE1" w:themeFill="background2"/>
      </w:tcPr>
    </w:tblStylePr>
  </w:style>
  <w:style w:type="paragraph" w:customStyle="1" w:styleId="SGTableHeading1">
    <w:name w:val="SG Table Heading 1"/>
    <w:basedOn w:val="Normal"/>
    <w:rsid w:val="001D2A20"/>
    <w:pPr>
      <w:jc w:val="right"/>
    </w:pPr>
    <w:rPr>
      <w:rFonts w:cs="Arial"/>
      <w:b/>
      <w:sz w:val="20"/>
      <w:szCs w:val="18"/>
    </w:rPr>
  </w:style>
  <w:style w:type="character" w:customStyle="1" w:styleId="FooterChar">
    <w:name w:val="Footer Char"/>
    <w:basedOn w:val="DefaultParagraphFont"/>
    <w:link w:val="Footer"/>
    <w:uiPriority w:val="99"/>
    <w:rsid w:val="00553567"/>
    <w:rPr>
      <w:sz w:val="26"/>
    </w:rPr>
  </w:style>
  <w:style w:type="paragraph" w:styleId="EndnoteText">
    <w:name w:val="endnote text"/>
    <w:basedOn w:val="Normal"/>
    <w:link w:val="EndnoteTextChar"/>
    <w:locked/>
    <w:rsid w:val="00D3376E"/>
    <w:pPr>
      <w:spacing w:line="240" w:lineRule="auto"/>
    </w:pPr>
    <w:rPr>
      <w:sz w:val="20"/>
    </w:rPr>
  </w:style>
  <w:style w:type="character" w:customStyle="1" w:styleId="EndnoteTextChar">
    <w:name w:val="Endnote Text Char"/>
    <w:basedOn w:val="DefaultParagraphFont"/>
    <w:link w:val="EndnoteText"/>
    <w:rsid w:val="00D3376E"/>
  </w:style>
  <w:style w:type="character" w:styleId="EndnoteReference">
    <w:name w:val="endnote reference"/>
    <w:basedOn w:val="DefaultParagraphFont"/>
    <w:locked/>
    <w:rsid w:val="00D3376E"/>
    <w:rPr>
      <w:vertAlign w:val="superscript"/>
    </w:rPr>
  </w:style>
  <w:style w:type="paragraph" w:styleId="CommentText">
    <w:name w:val="annotation text"/>
    <w:basedOn w:val="Normal"/>
    <w:link w:val="CommentTextChar"/>
    <w:uiPriority w:val="99"/>
    <w:locked/>
    <w:rsid w:val="007072D0"/>
    <w:pPr>
      <w:tabs>
        <w:tab w:val="clear" w:pos="720"/>
        <w:tab w:val="clear" w:pos="1440"/>
        <w:tab w:val="clear" w:pos="2160"/>
        <w:tab w:val="clear" w:pos="2880"/>
        <w:tab w:val="clear" w:pos="4680"/>
        <w:tab w:val="clear" w:pos="5400"/>
        <w:tab w:val="clear" w:pos="9000"/>
      </w:tabs>
      <w:spacing w:before="240" w:after="120" w:line="240" w:lineRule="auto"/>
      <w:ind w:left="567"/>
    </w:pPr>
    <w:rPr>
      <w:rFonts w:eastAsia="Times New Roman"/>
      <w:sz w:val="20"/>
      <w:lang w:val="en-GB" w:eastAsia="en-GB"/>
    </w:rPr>
  </w:style>
  <w:style w:type="character" w:customStyle="1" w:styleId="CommentTextChar">
    <w:name w:val="Comment Text Char"/>
    <w:basedOn w:val="DefaultParagraphFont"/>
    <w:link w:val="CommentText"/>
    <w:uiPriority w:val="99"/>
    <w:rsid w:val="007072D0"/>
    <w:rPr>
      <w:rFonts w:eastAsia="Times New Roman"/>
      <w:lang w:val="en-GB" w:eastAsia="en-GB"/>
    </w:rPr>
  </w:style>
  <w:style w:type="character" w:customStyle="1" w:styleId="FootnoteTextChar">
    <w:name w:val="Footnote Text Char"/>
    <w:basedOn w:val="DefaultParagraphFont"/>
    <w:link w:val="FootnoteText"/>
    <w:uiPriority w:val="99"/>
    <w:rsid w:val="005D1C79"/>
    <w:rPr>
      <w:rFonts w:eastAsia="Calibri"/>
      <w:sz w:val="22"/>
    </w:rPr>
  </w:style>
  <w:style w:type="character" w:styleId="FollowedHyperlink">
    <w:name w:val="FollowedHyperlink"/>
    <w:basedOn w:val="DefaultParagraphFont"/>
    <w:locked/>
    <w:rsid w:val="005D1C79"/>
    <w:rPr>
      <w:color w:val="800080" w:themeColor="followedHyperlink"/>
      <w:u w:val="single"/>
    </w:rPr>
  </w:style>
  <w:style w:type="paragraph" w:styleId="CommentSubject">
    <w:name w:val="annotation subject"/>
    <w:basedOn w:val="CommentText"/>
    <w:next w:val="CommentText"/>
    <w:link w:val="CommentSubjectChar"/>
    <w:locked/>
    <w:rsid w:val="001F12B2"/>
    <w:pPr>
      <w:tabs>
        <w:tab w:val="left" w:pos="720"/>
        <w:tab w:val="left" w:pos="1440"/>
        <w:tab w:val="left" w:pos="2160"/>
        <w:tab w:val="left" w:pos="2880"/>
        <w:tab w:val="left" w:pos="4680"/>
        <w:tab w:val="left" w:pos="5400"/>
        <w:tab w:val="right" w:pos="9000"/>
      </w:tabs>
      <w:spacing w:before="0" w:after="0"/>
      <w:ind w:left="0"/>
    </w:pPr>
    <w:rPr>
      <w:rFonts w:eastAsia="Cambria"/>
      <w:b/>
      <w:bCs/>
      <w:lang w:val="en-US" w:eastAsia="en-US"/>
    </w:rPr>
  </w:style>
  <w:style w:type="character" w:customStyle="1" w:styleId="CommentSubjectChar">
    <w:name w:val="Comment Subject Char"/>
    <w:basedOn w:val="CommentTextChar"/>
    <w:link w:val="CommentSubject"/>
    <w:rsid w:val="001F12B2"/>
    <w:rPr>
      <w:rFonts w:eastAsia="Times New Roman"/>
      <w:b/>
      <w:bCs/>
      <w:lang w:val="en-GB" w:eastAsia="en-GB"/>
    </w:rPr>
  </w:style>
  <w:style w:type="paragraph" w:customStyle="1" w:styleId="Default">
    <w:name w:val="Default"/>
    <w:rsid w:val="00690191"/>
    <w:pPr>
      <w:autoSpaceDE w:val="0"/>
      <w:autoSpaceDN w:val="0"/>
      <w:adjustRightInd w:val="0"/>
    </w:pPr>
    <w:rPr>
      <w:rFonts w:cs="Arial"/>
      <w:color w:val="000000"/>
      <w:sz w:val="24"/>
      <w:szCs w:val="24"/>
      <w:lang w:val="en-GB"/>
    </w:rPr>
  </w:style>
  <w:style w:type="paragraph" w:styleId="NoSpacing">
    <w:name w:val="No Spacing"/>
    <w:uiPriority w:val="1"/>
    <w:qFormat/>
    <w:locked/>
    <w:rsid w:val="00A54BB6"/>
    <w:pPr>
      <w:tabs>
        <w:tab w:val="left" w:pos="720"/>
        <w:tab w:val="left" w:pos="1440"/>
        <w:tab w:val="left" w:pos="2160"/>
        <w:tab w:val="left" w:pos="2880"/>
        <w:tab w:val="left" w:pos="4680"/>
        <w:tab w:val="left" w:pos="5400"/>
        <w:tab w:val="right" w:pos="9000"/>
      </w:tabs>
    </w:pPr>
    <w:rPr>
      <w:sz w:val="26"/>
    </w:rPr>
  </w:style>
  <w:style w:type="paragraph" w:styleId="Revision">
    <w:name w:val="Revision"/>
    <w:hidden/>
    <w:uiPriority w:val="99"/>
    <w:semiHidden/>
    <w:rsid w:val="005811E4"/>
    <w:rPr>
      <w:sz w:val="26"/>
    </w:rPr>
  </w:style>
  <w:style w:type="character" w:styleId="Emphasis">
    <w:name w:val="Emphasis"/>
    <w:basedOn w:val="DefaultParagraphFont"/>
    <w:qFormat/>
    <w:locked/>
    <w:rsid w:val="003A634B"/>
    <w:rPr>
      <w:i/>
      <w:iCs/>
    </w:rPr>
  </w:style>
  <w:style w:type="character" w:styleId="Strong">
    <w:name w:val="Strong"/>
    <w:basedOn w:val="DefaultParagraphFont"/>
    <w:qFormat/>
    <w:locked/>
    <w:rsid w:val="00874DE1"/>
    <w:rPr>
      <w:b/>
      <w:bCs/>
    </w:rPr>
  </w:style>
  <w:style w:type="character" w:styleId="UnresolvedMention">
    <w:name w:val="Unresolved Mention"/>
    <w:basedOn w:val="DefaultParagraphFont"/>
    <w:uiPriority w:val="99"/>
    <w:semiHidden/>
    <w:unhideWhenUsed/>
    <w:rsid w:val="000E151B"/>
    <w:rPr>
      <w:color w:val="605E5C"/>
      <w:shd w:val="clear" w:color="auto" w:fill="E1DFDD"/>
    </w:rPr>
  </w:style>
  <w:style w:type="numbering" w:customStyle="1" w:styleId="Style1">
    <w:name w:val="Style1"/>
    <w:uiPriority w:val="99"/>
    <w:rsid w:val="009F7BBD"/>
    <w:pPr>
      <w:numPr>
        <w:numId w:val="28"/>
      </w:numPr>
    </w:pPr>
  </w:style>
  <w:style w:type="numbering" w:customStyle="1" w:styleId="Style2">
    <w:name w:val="Style2"/>
    <w:uiPriority w:val="99"/>
    <w:rsid w:val="0041185A"/>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97">
      <w:bodyDiv w:val="1"/>
      <w:marLeft w:val="0"/>
      <w:marRight w:val="0"/>
      <w:marTop w:val="0"/>
      <w:marBottom w:val="0"/>
      <w:divBdr>
        <w:top w:val="none" w:sz="0" w:space="0" w:color="auto"/>
        <w:left w:val="none" w:sz="0" w:space="0" w:color="auto"/>
        <w:bottom w:val="none" w:sz="0" w:space="0" w:color="auto"/>
        <w:right w:val="none" w:sz="0" w:space="0" w:color="auto"/>
      </w:divBdr>
    </w:div>
    <w:div w:id="180053381">
      <w:bodyDiv w:val="1"/>
      <w:marLeft w:val="0"/>
      <w:marRight w:val="0"/>
      <w:marTop w:val="0"/>
      <w:marBottom w:val="0"/>
      <w:divBdr>
        <w:top w:val="none" w:sz="0" w:space="0" w:color="auto"/>
        <w:left w:val="none" w:sz="0" w:space="0" w:color="auto"/>
        <w:bottom w:val="none" w:sz="0" w:space="0" w:color="auto"/>
        <w:right w:val="none" w:sz="0" w:space="0" w:color="auto"/>
      </w:divBdr>
    </w:div>
    <w:div w:id="212888582">
      <w:bodyDiv w:val="1"/>
      <w:marLeft w:val="0"/>
      <w:marRight w:val="0"/>
      <w:marTop w:val="0"/>
      <w:marBottom w:val="0"/>
      <w:divBdr>
        <w:top w:val="none" w:sz="0" w:space="0" w:color="auto"/>
        <w:left w:val="none" w:sz="0" w:space="0" w:color="auto"/>
        <w:bottom w:val="none" w:sz="0" w:space="0" w:color="auto"/>
        <w:right w:val="none" w:sz="0" w:space="0" w:color="auto"/>
      </w:divBdr>
      <w:divsChild>
        <w:div w:id="1189682315">
          <w:marLeft w:val="547"/>
          <w:marRight w:val="0"/>
          <w:marTop w:val="77"/>
          <w:marBottom w:val="0"/>
          <w:divBdr>
            <w:top w:val="none" w:sz="0" w:space="0" w:color="auto"/>
            <w:left w:val="none" w:sz="0" w:space="0" w:color="auto"/>
            <w:bottom w:val="none" w:sz="0" w:space="0" w:color="auto"/>
            <w:right w:val="none" w:sz="0" w:space="0" w:color="auto"/>
          </w:divBdr>
        </w:div>
      </w:divsChild>
    </w:div>
    <w:div w:id="1440562470">
      <w:bodyDiv w:val="1"/>
      <w:marLeft w:val="0"/>
      <w:marRight w:val="0"/>
      <w:marTop w:val="0"/>
      <w:marBottom w:val="0"/>
      <w:divBdr>
        <w:top w:val="none" w:sz="0" w:space="0" w:color="auto"/>
        <w:left w:val="none" w:sz="0" w:space="0" w:color="auto"/>
        <w:bottom w:val="none" w:sz="0" w:space="0" w:color="auto"/>
        <w:right w:val="none" w:sz="0" w:space="0" w:color="auto"/>
      </w:divBdr>
    </w:div>
    <w:div w:id="1478842138">
      <w:bodyDiv w:val="1"/>
      <w:marLeft w:val="0"/>
      <w:marRight w:val="0"/>
      <w:marTop w:val="0"/>
      <w:marBottom w:val="0"/>
      <w:divBdr>
        <w:top w:val="none" w:sz="0" w:space="0" w:color="auto"/>
        <w:left w:val="none" w:sz="0" w:space="0" w:color="auto"/>
        <w:bottom w:val="none" w:sz="0" w:space="0" w:color="auto"/>
        <w:right w:val="none" w:sz="0" w:space="0" w:color="auto"/>
      </w:divBdr>
      <w:divsChild>
        <w:div w:id="287392982">
          <w:marLeft w:val="547"/>
          <w:marRight w:val="0"/>
          <w:marTop w:val="77"/>
          <w:marBottom w:val="0"/>
          <w:divBdr>
            <w:top w:val="none" w:sz="0" w:space="0" w:color="auto"/>
            <w:left w:val="none" w:sz="0" w:space="0" w:color="auto"/>
            <w:bottom w:val="none" w:sz="0" w:space="0" w:color="auto"/>
            <w:right w:val="none" w:sz="0" w:space="0" w:color="auto"/>
          </w:divBdr>
        </w:div>
      </w:divsChild>
    </w:div>
    <w:div w:id="1910119309">
      <w:bodyDiv w:val="1"/>
      <w:marLeft w:val="0"/>
      <w:marRight w:val="0"/>
      <w:marTop w:val="0"/>
      <w:marBottom w:val="0"/>
      <w:divBdr>
        <w:top w:val="none" w:sz="0" w:space="0" w:color="auto"/>
        <w:left w:val="none" w:sz="0" w:space="0" w:color="auto"/>
        <w:bottom w:val="none" w:sz="0" w:space="0" w:color="auto"/>
        <w:right w:val="none" w:sz="0" w:space="0" w:color="auto"/>
      </w:divBdr>
    </w:div>
    <w:div w:id="1957370866">
      <w:bodyDiv w:val="1"/>
      <w:marLeft w:val="0"/>
      <w:marRight w:val="0"/>
      <w:marTop w:val="0"/>
      <w:marBottom w:val="0"/>
      <w:divBdr>
        <w:top w:val="none" w:sz="0" w:space="0" w:color="auto"/>
        <w:left w:val="none" w:sz="0" w:space="0" w:color="auto"/>
        <w:bottom w:val="none" w:sz="0" w:space="0" w:color="auto"/>
        <w:right w:val="none" w:sz="0" w:space="0" w:color="auto"/>
      </w:divBdr>
    </w:div>
    <w:div w:id="20489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scot/publications/extra-regio-satellite-accounts-1998-2021" TargetMode="External" Id="rId13" /><Relationship Type="http://schemas.openxmlformats.org/officeDocument/2006/relationships/header" Target="header2.xml" Id="rId18" /><Relationship Type="http://schemas.openxmlformats.org/officeDocument/2006/relationships/header" Target="header3.xml" Id="rId21" /><Relationship Type="http://schemas.openxmlformats.org/officeDocument/2006/relationships/webSettings" Target="webSettings.xml" Id="rId7" /><Relationship Type="http://schemas.openxmlformats.org/officeDocument/2006/relationships/hyperlink" Target="mailto:economic.statistics@gov.scot" TargetMode="External" Id="rId12" /><Relationship Type="http://schemas.openxmlformats.org/officeDocument/2006/relationships/header" Target="header1.xml" Id="rId17" /><Relationship Type="http://schemas.openxmlformats.org/officeDocument/2006/relationships/customXml" Target="../customXml/item1.xml" Id="rId2" /><Relationship Type="http://schemas.openxmlformats.org/officeDocument/2006/relationships/image" Target="media/image2.emf" Id="rId16" /><Relationship Type="http://schemas.openxmlformats.org/officeDocument/2006/relationships/footer" Target="footer2.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yperlink" Target="https://twitter.com/scotgovocea"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image" Target="media/image1.png" Id="rId15" /><Relationship Type="http://schemas.openxmlformats.org/officeDocument/2006/relationships/fontTable" Target="fontTable.xml" Id="rId23" /><Relationship Type="http://schemas.openxmlformats.org/officeDocument/2006/relationships/hyperlink" Target="mailto:economic.statistics@gov.scot" TargetMode="Externa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ons.gov.uk/economy/nationalaccounts/balanceofpayments/bulletins/foreigndirectinvestmentinvolvingukcompanies/2021" TargetMode="External" Id="rId14" /><Relationship Type="http://schemas.openxmlformats.org/officeDocument/2006/relationships/footer" Target="footer3.xml" Id="rId22" /><Relationship Type="http://schemas.openxmlformats.org/officeDocument/2006/relationships/customXml" Target="/customXML/item3.xml" Id="R142ac7b5a517408b" /></Relationships>
</file>

<file path=word/_rels/footnotes.xml.rels><?xml version="1.0" encoding="UTF-8" standalone="yes"?>
<Relationships xmlns="http://schemas.openxmlformats.org/package/2006/relationships"><Relationship Id="rId3" Type="http://schemas.openxmlformats.org/officeDocument/2006/relationships/hyperlink" Target="https://www.ons.gov.uk/economy/nationalaccounts/uksectoraccounts/datasets/ukeconomicaccountsbalanceofpayments" TargetMode="External"/><Relationship Id="rId2" Type="http://schemas.openxmlformats.org/officeDocument/2006/relationships/hyperlink" Target="https://www.imf.org/external/pubs/ft/bop/2007/bop6comp.htm" TargetMode="External"/><Relationship Id="rId1" Type="http://schemas.openxmlformats.org/officeDocument/2006/relationships/hyperlink" Target="https://unstats.un.org/unsd/nationalaccount/sna.asp" TargetMode="External"/><Relationship Id="rId4" Type="http://schemas.openxmlformats.org/officeDocument/2006/relationships/hyperlink" Target="https://www.ons.gov.uk/economy/nationalaccounts/balanceofpayments/bulletins/unitedkingdombalanceofpaymentsthepinkbook/202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A43506711</value>
    </field>
    <field name="Objective-Title">
      <value order="0">GNI Publication 2022 - Methodology note</value>
    </field>
    <field name="Objective-Description">
      <value order="0"/>
    </field>
    <field name="Objective-CreationStamp">
      <value order="0">2023-04-27T15:30:30Z</value>
    </field>
    <field name="Objective-IsApproved">
      <value order="0">false</value>
    </field>
    <field name="Objective-IsPublished">
      <value order="0">false</value>
    </field>
    <field name="Objective-DatePublished">
      <value order="0"/>
    </field>
    <field name="Objective-ModificationStamp">
      <value order="0">2023-06-27T10:22:49Z</value>
    </field>
    <field name="Objective-Owner">
      <value order="0">McDonald, Lorna L (U444194)</value>
    </field>
    <field name="Objective-Path">
      <value order="0">Objective Global Folder:SG File Plan:Economics and finance:UK economy:Scottish economy:Research and analysis: Scottish economy:Statistics: Primary Income accounts and gross national income (GNI): 2023-2028</value>
    </field>
    <field name="Objective-Parent">
      <value order="0">Statistics: Primary Income accounts and gross national income (GNI): 2023-2028</value>
    </field>
    <field name="Objective-State">
      <value order="0">Being Drafted</value>
    </field>
    <field name="Objective-VersionId">
      <value order="0">vA66142103</value>
    </field>
    <field name="Objective-Version">
      <value order="0">0.7</value>
    </field>
    <field name="Objective-VersionNumber">
      <value order="0">7</value>
    </field>
    <field name="Objective-VersionComment">
      <value order="0"/>
    </field>
    <field name="Objective-FileNumber">
      <value order="0">PROJ/96640</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5E9EF-E54C-4995-9A13-D5D604BC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16</Pages>
  <Words>5238</Words>
  <Characters>29857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1</vt:lpstr>
    </vt:vector>
  </TitlesOfParts>
  <Company>University of Glasgow</Company>
  <LinksUpToDate>false</LinksUpToDate>
  <CharactersWithSpaces>35025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APS Administrator</dc:creator>
  <cp:lastModifiedBy>Lorna Mcdonald</cp:lastModifiedBy>
  <cp:revision>157</cp:revision>
  <cp:lastPrinted>2018-12-18T14:07:00Z</cp:lastPrinted>
  <dcterms:created xsi:type="dcterms:W3CDTF">2022-11-24T09:30:00Z</dcterms:created>
  <dcterms:modified xsi:type="dcterms:W3CDTF">2023-06-27T10:22:00Z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A43506711</vt:lpwstr>
  </property>
  <property fmtid="{D5CDD505-2E9C-101B-9397-08002B2CF9AE}" pid="4" name="Objective-Title">
    <vt:lpwstr>GNI Publication 2022 - Methodology note</vt:lpwstr>
  </property>
  <property fmtid="{D5CDD505-2E9C-101B-9397-08002B2CF9AE}" pid="5" name="Objective-Description">
    <vt:lpwstr/>
  </property>
  <property fmtid="{D5CDD505-2E9C-101B-9397-08002B2CF9AE}" pid="6" name="Objective-CreationStamp">
    <vt:filetime>2023-04-27T15:30:30Z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2023-06-27T10:22:49Z</vt:filetime>
  </property>
  <property fmtid="{D5CDD505-2E9C-101B-9397-08002B2CF9AE}" pid="11" name="Objective-Owner">
    <vt:lpwstr>McDonald, Lorna L (U444194)</vt:lpwstr>
  </property>
  <property fmtid="{D5CDD505-2E9C-101B-9397-08002B2CF9AE}" pid="12" name="Objective-Path">
    <vt:lpwstr>Objective Global Folder:SG File Plan:Economics and finance:UK economy:Scottish economy:Research and analysis: Scottish economy:Statistics: Primary Income accounts and gross national income (GNI): 2023-2028</vt:lpwstr>
  </property>
  <property fmtid="{D5CDD505-2E9C-101B-9397-08002B2CF9AE}" pid="13" name="Objective-Parent">
    <vt:lpwstr>Statistics: Primary Income accounts and gross national income (GNI): 2023-2028</vt:lpwstr>
  </property>
  <property fmtid="{D5CDD505-2E9C-101B-9397-08002B2CF9AE}" pid="14" name="Objective-State">
    <vt:lpwstr>Being Drafted</vt:lpwstr>
  </property>
  <property fmtid="{D5CDD505-2E9C-101B-9397-08002B2CF9AE}" pid="15" name="Objective-VersionId">
    <vt:lpwstr>vA66142103</vt:lpwstr>
  </property>
  <property fmtid="{D5CDD505-2E9C-101B-9397-08002B2CF9AE}" pid="16" name="Objective-Version">
    <vt:lpwstr>0.7</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PROJ/96640</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